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6AF20">
      <w:pPr>
        <w:ind w:firstLine="880" w:firstLineChars="200"/>
        <w:jc w:val="both"/>
        <w:rPr>
          <w:rFonts w:ascii="宋体" w:hAnsi="宋体" w:eastAsia="宋体"/>
          <w:sz w:val="24"/>
        </w:rPr>
      </w:pPr>
      <w:r>
        <w:rPr>
          <w:rFonts w:hint="eastAsia" w:ascii="方正小标宋简体" w:hAnsi="方正小标宋简体" w:eastAsia="方正小标宋简体" w:cs="方正小标宋简体"/>
          <w:b w:val="0"/>
          <w:bCs/>
          <w:sz w:val="44"/>
          <w:szCs w:val="44"/>
          <w:lang w:eastAsia="zh-CN"/>
        </w:rPr>
        <w:t>第三讲</w:t>
      </w:r>
      <w:r>
        <w:rPr>
          <w:rFonts w:hint="eastAsia" w:ascii="方正小标宋简体" w:hAnsi="方正小标宋简体" w:eastAsia="方正小标宋简体" w:cs="方正小标宋简体"/>
          <w:b w:val="0"/>
          <w:bCs/>
          <w:sz w:val="44"/>
          <w:szCs w:val="44"/>
          <w:lang w:val="en-US" w:eastAsia="zh-CN"/>
        </w:rPr>
        <w:t xml:space="preserve">  </w:t>
      </w:r>
      <w:r>
        <w:rPr>
          <w:rFonts w:hint="eastAsia" w:ascii="方正小标宋简体" w:hAnsi="方正小标宋简体" w:eastAsia="方正小标宋简体" w:cs="方正小标宋简体"/>
          <w:b w:val="0"/>
          <w:bCs/>
          <w:sz w:val="44"/>
          <w:szCs w:val="44"/>
        </w:rPr>
        <w:t>儿童鼾症的规范性诊疗</w:t>
      </w:r>
      <w:r>
        <w:rPr>
          <w:rFonts w:hint="eastAsia" w:ascii="宋体" w:hAnsi="宋体" w:eastAsia="宋体"/>
          <w:sz w:val="24"/>
        </w:rPr>
        <w:t xml:space="preserve"> </w:t>
      </w:r>
    </w:p>
    <w:p w14:paraId="24A944AE">
      <w:pPr>
        <w:spacing w:after="0" w:line="240" w:lineRule="auto"/>
        <w:jc w:val="center"/>
        <w:rPr>
          <w:rFonts w:hint="eastAsia" w:ascii="仿宋_GB2312" w:hAnsi="仿宋_GB2312" w:eastAsia="仿宋_GB2312" w:cs="仿宋_GB2312"/>
          <w:sz w:val="32"/>
          <w:szCs w:val="32"/>
        </w:rPr>
      </w:pPr>
      <w:r>
        <w:rPr>
          <w:rFonts w:hint="eastAsia" w:ascii="宋体" w:hAnsi="宋体" w:eastAsia="宋体"/>
          <w:sz w:val="24"/>
          <w:lang w:val="en-US" w:eastAsia="zh-CN"/>
        </w:rPr>
        <w:t xml:space="preserve"> </w:t>
      </w:r>
      <w:r>
        <w:rPr>
          <w:rFonts w:hint="eastAsia" w:ascii="仿宋_GB2312" w:hAnsi="仿宋_GB2312" w:eastAsia="仿宋_GB2312" w:cs="仿宋_GB2312"/>
          <w:sz w:val="32"/>
          <w:szCs w:val="32"/>
        </w:rPr>
        <w:t>福建医科大学附属第一医院 王英歌</w:t>
      </w:r>
    </w:p>
    <w:p w14:paraId="64A221C7">
      <w:pPr>
        <w:rPr>
          <w:rFonts w:hint="eastAsia" w:ascii="仿宋_GB2312" w:hAnsi="仿宋_GB2312" w:eastAsia="仿宋_GB2312" w:cs="仿宋_GB2312"/>
          <w:sz w:val="32"/>
          <w:szCs w:val="32"/>
        </w:rPr>
      </w:pPr>
    </w:p>
    <w:p w14:paraId="11B7863B">
      <w:pPr>
        <w:spacing w:after="0"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儿童鼾症是一种常见的睡眠障碍，严重影响儿童的身心健康。儿童鼾症的专业医学名称应为</w:t>
      </w:r>
      <w:r>
        <w:rPr>
          <w:rFonts w:hint="eastAsia" w:ascii="仿宋_GB2312" w:hAnsi="仿宋_GB2312" w:eastAsia="仿宋_GB2312" w:cs="仿宋_GB2312"/>
          <w:color w:val="000000"/>
          <w:sz w:val="32"/>
          <w:szCs w:val="32"/>
          <w:shd w:val="clear" w:color="auto" w:fill="FFFFFF"/>
        </w:rPr>
        <w:t>睡眠呼吸障碍 （</w:t>
      </w:r>
      <w:r>
        <w:rPr>
          <w:rFonts w:hint="eastAsia" w:ascii="仿宋_GB2312" w:hAnsi="仿宋_GB2312" w:eastAsia="仿宋_GB2312" w:cs="仿宋_GB2312"/>
          <w:sz w:val="32"/>
          <w:szCs w:val="32"/>
        </w:rPr>
        <w:t>Sleep Disordered Breathing, SDB</w:t>
      </w:r>
      <w:r>
        <w:rPr>
          <w:rFonts w:hint="eastAsia" w:ascii="仿宋_GB2312" w:hAnsi="仿宋_GB2312" w:eastAsia="仿宋_GB2312" w:cs="仿宋_GB2312"/>
          <w:color w:val="000000"/>
          <w:sz w:val="32"/>
          <w:szCs w:val="32"/>
          <w:shd w:val="clear" w:color="auto" w:fill="FFFFFF"/>
        </w:rPr>
        <w:t>）。</w:t>
      </w:r>
      <w:r>
        <w:rPr>
          <w:rFonts w:hint="eastAsia" w:ascii="仿宋_GB2312" w:hAnsi="仿宋_GB2312" w:eastAsia="仿宋_GB2312" w:cs="仿宋_GB2312"/>
          <w:sz w:val="32"/>
          <w:szCs w:val="32"/>
        </w:rPr>
        <w:t>SDB</w:t>
      </w:r>
      <w:r>
        <w:rPr>
          <w:rFonts w:hint="eastAsia" w:ascii="仿宋_GB2312" w:hAnsi="仿宋_GB2312" w:eastAsia="仿宋_GB2312" w:cs="仿宋_GB2312"/>
          <w:color w:val="000000"/>
          <w:sz w:val="32"/>
          <w:szCs w:val="32"/>
          <w:shd w:val="clear" w:color="auto" w:fill="FFFFFF"/>
        </w:rPr>
        <w:t>包括</w:t>
      </w:r>
      <w:r>
        <w:rPr>
          <w:rFonts w:hint="eastAsia" w:ascii="仿宋_GB2312" w:hAnsi="仿宋_GB2312" w:eastAsia="仿宋_GB2312" w:cs="仿宋_GB2312"/>
          <w:sz w:val="32"/>
          <w:szCs w:val="32"/>
        </w:rPr>
        <w:t>原发性打鼾(</w:t>
      </w:r>
      <w:r>
        <w:rPr>
          <w:rFonts w:hint="eastAsia" w:ascii="仿宋_GB2312" w:hAnsi="仿宋_GB2312" w:eastAsia="仿宋_GB2312" w:cs="仿宋_GB2312"/>
          <w:sz w:val="32"/>
          <w:szCs w:val="32"/>
          <w:lang w:bidi="ar"/>
        </w:rPr>
        <w:t>Primary Snoring, PS)</w:t>
      </w:r>
      <w:r>
        <w:rPr>
          <w:rFonts w:hint="eastAsia" w:ascii="仿宋_GB2312" w:hAnsi="仿宋_GB2312" w:eastAsia="仿宋_GB2312" w:cs="仿宋_GB2312"/>
          <w:sz w:val="32"/>
          <w:szCs w:val="32"/>
        </w:rPr>
        <w:t>、上气道阻力综合征(</w:t>
      </w:r>
      <w:r>
        <w:rPr>
          <w:rFonts w:hint="eastAsia" w:ascii="仿宋_GB2312" w:hAnsi="仿宋_GB2312" w:eastAsia="仿宋_GB2312" w:cs="仿宋_GB2312"/>
          <w:color w:val="212121"/>
          <w:sz w:val="32"/>
          <w:szCs w:val="32"/>
          <w:shd w:val="clear" w:color="auto" w:fill="FFFFFF"/>
        </w:rPr>
        <w:t>Upper Airway Resistance Syndrome, UARS)</w:t>
      </w:r>
      <w:r>
        <w:rPr>
          <w:rFonts w:hint="eastAsia" w:ascii="仿宋_GB2312" w:hAnsi="仿宋_GB2312" w:eastAsia="仿宋_GB2312" w:cs="仿宋_GB2312"/>
          <w:sz w:val="32"/>
          <w:szCs w:val="32"/>
        </w:rPr>
        <w:t>和阻塞性睡眠呼吸暂停综合(Obstructive Sleep Apnea</w:t>
      </w: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212121"/>
          <w:sz w:val="32"/>
          <w:szCs w:val="32"/>
          <w:shd w:val="clear" w:color="auto" w:fill="FFFFFF"/>
        </w:rPr>
        <w:t>Syndrome</w:t>
      </w:r>
      <w:r>
        <w:rPr>
          <w:rFonts w:hint="eastAsia" w:ascii="仿宋_GB2312" w:hAnsi="仿宋_GB2312" w:eastAsia="仿宋_GB2312" w:cs="仿宋_GB2312"/>
          <w:sz w:val="32"/>
          <w:szCs w:val="32"/>
        </w:rPr>
        <w:t>，OSA)，其中OSA是SDB中危害最为严重的疾病，发病率有逐渐增加的趋势，它不仅可引起局部症状，还可引起全身器官的并发症，严重的OSA甚至导致猝死，因此越来越受到关注。</w:t>
      </w:r>
    </w:p>
    <w:p w14:paraId="3D89AB3C">
      <w:pPr>
        <w:spacing w:after="0"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儿童OSA是指儿童睡眠过程中频繁发生部分或完全上气道阻塞，干扰儿童的正常通气和睡眠结构，进而引起的一系列病理生理变化。儿童OSA主要表现为睡眠时打鼾、张口呼吸、夜惊、磨牙、遗尿、夜间睡眠动作异常、心功能不全等生理疾病。</w:t>
      </w:r>
      <w:r>
        <w:rPr>
          <w:rFonts w:hint="eastAsia" w:ascii="仿宋_GB2312" w:hAnsi="仿宋_GB2312" w:eastAsia="仿宋_GB2312" w:cs="仿宋_GB2312"/>
          <w:color w:val="404040"/>
          <w:sz w:val="32"/>
          <w:szCs w:val="32"/>
        </w:rPr>
        <w:t>此外，</w:t>
      </w:r>
      <w:r>
        <w:rPr>
          <w:rFonts w:hint="eastAsia" w:ascii="仿宋_GB2312" w:hAnsi="仿宋_GB2312" w:eastAsia="仿宋_GB2312" w:cs="仿宋_GB2312"/>
          <w:sz w:val="32"/>
          <w:szCs w:val="32"/>
        </w:rPr>
        <w:t>OSA</w:t>
      </w:r>
      <w:r>
        <w:rPr>
          <w:rFonts w:hint="eastAsia" w:ascii="仿宋_GB2312" w:hAnsi="仿宋_GB2312" w:eastAsia="仿宋_GB2312" w:cs="仿宋_GB2312"/>
          <w:color w:val="404040"/>
          <w:sz w:val="32"/>
          <w:szCs w:val="32"/>
        </w:rPr>
        <w:t>还会引发一系列</w:t>
      </w:r>
      <w:r>
        <w:rPr>
          <w:rFonts w:hint="eastAsia" w:ascii="仿宋_GB2312" w:hAnsi="仿宋_GB2312" w:eastAsia="仿宋_GB2312" w:cs="仿宋_GB2312"/>
          <w:sz w:val="32"/>
          <w:szCs w:val="32"/>
        </w:rPr>
        <w:t>行为心理症状，如社交能力差、注意力不集中、记忆力差、智力受损，认知功能下降等，对儿童的生长发育造成了严重的影响。重度</w:t>
      </w:r>
      <w:r>
        <w:rPr>
          <w:rFonts w:hint="eastAsia" w:ascii="仿宋_GB2312" w:hAnsi="仿宋_GB2312" w:eastAsia="仿宋_GB2312" w:cs="仿宋_GB2312"/>
          <w:color w:val="000000"/>
          <w:sz w:val="32"/>
          <w:szCs w:val="32"/>
        </w:rPr>
        <w:t>OSA会引起儿童颌面部发育畸形，还是儿童胸廓畸形发生的危险因素</w:t>
      </w:r>
      <w:r>
        <w:rPr>
          <w:rFonts w:hint="eastAsia" w:ascii="仿宋_GB2312" w:hAnsi="仿宋_GB2312" w:eastAsia="仿宋_GB2312" w:cs="仿宋_GB2312"/>
          <w:sz w:val="32"/>
          <w:szCs w:val="32"/>
        </w:rPr>
        <w:t>。儿童OSA是临床常见疾病，2010年中国香港地区报道儿童OSA的患病率为4.8%，2012年美国儿科学会（American Academy of Pediatrics，AAP）指南报告儿童OSA发病率高达1.2%～5.7%。</w:t>
      </w:r>
    </w:p>
    <w:p w14:paraId="6F80914F">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OSA发病率高，上气道解剖结构异常导致气道狭窄是重要的致病因素，扁桃体及腺样体增生肥大是儿童上气道狭窄的主要因素。目前临床上主要采取的是扁桃体及腺样体切除术。以下将围绕儿童</w:t>
      </w:r>
      <w:r>
        <w:rPr>
          <w:rFonts w:hint="eastAsia" w:ascii="仿宋_GB2312" w:hAnsi="仿宋_GB2312" w:eastAsia="仿宋_GB2312" w:cs="仿宋_GB2312"/>
          <w:sz w:val="32"/>
          <w:szCs w:val="32"/>
        </w:rPr>
        <w:t>OSA的病因、发病机制、诊断及治疗进行阐述。</w:t>
      </w:r>
    </w:p>
    <w:p w14:paraId="008F1297">
      <w:pPr>
        <w:spacing w:line="360" w:lineRule="auto"/>
        <w:rPr>
          <w:rFonts w:hint="eastAsia" w:ascii="仿宋_GB2312" w:hAnsi="仿宋_GB2312" w:eastAsia="仿宋_GB2312" w:cs="仿宋_GB2312"/>
          <w:b/>
          <w:bCs/>
          <w:color w:val="212121"/>
          <w:sz w:val="32"/>
          <w:szCs w:val="32"/>
          <w:shd w:val="clear" w:color="auto" w:fill="FFFFFF"/>
        </w:rPr>
      </w:pPr>
      <w:r>
        <w:rPr>
          <w:rFonts w:hint="eastAsia" w:ascii="仿宋_GB2312" w:hAnsi="仿宋_GB2312" w:eastAsia="仿宋_GB2312" w:cs="仿宋_GB2312"/>
          <w:b/>
          <w:bCs/>
          <w:color w:val="212121"/>
          <w:sz w:val="32"/>
          <w:szCs w:val="32"/>
          <w:shd w:val="clear" w:color="auto" w:fill="FFFFFF"/>
        </w:rPr>
        <w:t>一、儿童</w:t>
      </w:r>
      <w:bookmarkStart w:id="0" w:name="_Hlk190707445"/>
      <w:r>
        <w:rPr>
          <w:rFonts w:hint="eastAsia" w:ascii="仿宋_GB2312" w:hAnsi="仿宋_GB2312" w:eastAsia="仿宋_GB2312" w:cs="仿宋_GB2312"/>
          <w:b/>
          <w:bCs/>
          <w:color w:val="212121"/>
          <w:sz w:val="32"/>
          <w:szCs w:val="32"/>
          <w:shd w:val="clear" w:color="auto" w:fill="FFFFFF"/>
        </w:rPr>
        <w:t>OSA</w:t>
      </w:r>
      <w:bookmarkEnd w:id="0"/>
      <w:r>
        <w:rPr>
          <w:rFonts w:hint="eastAsia" w:ascii="仿宋_GB2312" w:hAnsi="仿宋_GB2312" w:eastAsia="仿宋_GB2312" w:cs="仿宋_GB2312"/>
          <w:b/>
          <w:bCs/>
          <w:color w:val="212121"/>
          <w:sz w:val="32"/>
          <w:szCs w:val="32"/>
          <w:shd w:val="clear" w:color="auto" w:fill="FFFFFF"/>
        </w:rPr>
        <w:t>的病因及危险因素</w:t>
      </w:r>
    </w:p>
    <w:p w14:paraId="3B266EEA">
      <w:pPr>
        <w:snapToGrid w:val="0"/>
        <w:spacing w:after="0" w:line="360" w:lineRule="auto"/>
        <w:ind w:firstLine="640" w:firstLineChars="200"/>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引起儿童OSA的常见原因包括上气道阻力增加引起顺应性改变以及影响神经调控等因素。 </w:t>
      </w:r>
    </w:p>
    <w:p w14:paraId="7BB0AB1F">
      <w:pPr>
        <w:snapToGrid w:val="0"/>
        <w:spacing w:after="0" w:line="360" w:lineRule="auto"/>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1．鼻部：常见有慢性鼻炎(感染性、变应性)、鼻窦炎、鼻息肉、鼻腔肿物、鼻中隔偏曲和后鼻孔闭锁等。 </w:t>
      </w:r>
    </w:p>
    <w:p w14:paraId="2D4EB9C2">
      <w:pPr>
        <w:snapToGrid w:val="0"/>
        <w:spacing w:after="0" w:line="360" w:lineRule="auto"/>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2．鼻咽部和口咽部：最常见的原因有</w:t>
      </w:r>
      <w:r>
        <w:rPr>
          <w:rFonts w:hint="eastAsia" w:ascii="仿宋_GB2312" w:hAnsi="仿宋_GB2312" w:eastAsia="仿宋_GB2312" w:cs="仿宋_GB2312"/>
          <w:b/>
          <w:bCs/>
          <w:sz w:val="32"/>
          <w:szCs w:val="32"/>
        </w:rPr>
        <w:t>腺样体肥大</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扁桃体肥大</w:t>
      </w:r>
      <w:r>
        <w:rPr>
          <w:rFonts w:hint="eastAsia" w:ascii="仿宋_GB2312" w:hAnsi="仿宋_GB2312" w:eastAsia="仿宋_GB2312" w:cs="仿宋_GB2312"/>
          <w:sz w:val="32"/>
          <w:szCs w:val="32"/>
        </w:rPr>
        <w:t xml:space="preserve">，其他原因有舌体肥大，肥胖造成的脂肪堆积，咽部及鼻咽部肿物，鼻咽闭锁等。 </w:t>
      </w:r>
    </w:p>
    <w:p w14:paraId="0B30753F">
      <w:pPr>
        <w:snapToGrid w:val="0"/>
        <w:spacing w:after="0" w:line="360" w:lineRule="auto"/>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3．喉部及气管：先天性喉软骨软化、喉蹼、喉囊肿、喉气管新生物（喉乳头状瘤）和气管狭窄等。</w:t>
      </w:r>
    </w:p>
    <w:p w14:paraId="0B05191B">
      <w:pPr>
        <w:snapToGrid w:val="0"/>
        <w:spacing w:after="0" w:line="360" w:lineRule="auto"/>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4．颅面部畸形：面中部发育不良(唐氏综合征、Grouzon 综合征、软骨发育不全等)；下颌骨发育不全，如皮一罗综合征 (Pierre-Robin syndrome)、下颌骨颜面发育不全、Shy—Drager综合征等。</w:t>
      </w:r>
    </w:p>
    <w:p w14:paraId="693BE38E">
      <w:pPr>
        <w:snapToGrid w:val="0"/>
        <w:spacing w:after="0" w:line="360" w:lineRule="auto"/>
        <w:ind w:firstLine="640" w:firstLineChars="200"/>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其他，如黏多糖贮积症Ⅱ型和I H型(Hunter综合征和Hurler综合征)，以及代谢性疾病(如骨硬化症)等均伴有颅面结构的异常。</w:t>
      </w:r>
    </w:p>
    <w:p w14:paraId="5BF10FDA">
      <w:pPr>
        <w:spacing w:after="0" w:line="360" w:lineRule="auto"/>
        <w:rPr>
          <w:rFonts w:hint="eastAsia" w:ascii="仿宋_GB2312" w:hAnsi="仿宋_GB2312" w:eastAsia="仿宋_GB2312" w:cs="仿宋_GB2312"/>
          <w:b/>
          <w:bCs/>
          <w:color w:val="212121"/>
          <w:sz w:val="32"/>
          <w:szCs w:val="32"/>
          <w:shd w:val="clear" w:color="auto" w:fill="FFFFFF"/>
        </w:rPr>
      </w:pPr>
      <w:r>
        <w:rPr>
          <w:rFonts w:hint="eastAsia" w:ascii="仿宋_GB2312" w:hAnsi="仿宋_GB2312" w:eastAsia="仿宋_GB2312" w:cs="仿宋_GB2312"/>
          <w:b/>
          <w:bCs/>
          <w:sz w:val="32"/>
          <w:szCs w:val="32"/>
        </w:rPr>
        <w:t>二、</w:t>
      </w:r>
      <w:r>
        <w:rPr>
          <w:rFonts w:hint="eastAsia" w:ascii="仿宋_GB2312" w:hAnsi="仿宋_GB2312" w:eastAsia="仿宋_GB2312" w:cs="仿宋_GB2312"/>
          <w:b/>
          <w:bCs/>
          <w:color w:val="212121"/>
          <w:sz w:val="32"/>
          <w:szCs w:val="32"/>
          <w:shd w:val="clear" w:color="auto" w:fill="FFFFFF"/>
        </w:rPr>
        <w:t>儿童OSA的发病机制</w:t>
      </w:r>
    </w:p>
    <w:p w14:paraId="1265089F">
      <w:pPr>
        <w:spacing w:after="0"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儿童OSA</w:t>
      </w:r>
      <w:r>
        <w:rPr>
          <w:rFonts w:hint="eastAsia" w:ascii="仿宋_GB2312" w:hAnsi="仿宋_GB2312" w:eastAsia="仿宋_GB2312" w:cs="仿宋_GB2312"/>
          <w:color w:val="000000"/>
          <w:sz w:val="32"/>
          <w:szCs w:val="32"/>
          <w:shd w:val="clear" w:color="auto" w:fill="FFFFFF"/>
        </w:rPr>
        <w:t>是多因素的，其中有三个核心因素：（1）颅面结构异常，(2) 组织沉积增加，(3) 气道塌陷性加大。临床中颅面结构异常通常是儿童OSA的结果，扁桃体肥大是学龄前儿童的主要因素，肥胖为年龄较大的儿童和青少年的主要风险。儿童OSA在2-8岁儿童发病率最高，这一时期也是儿童扁桃体及腺样体增生最明显的时期。</w:t>
      </w:r>
      <w:r>
        <w:rPr>
          <w:rFonts w:hint="eastAsia" w:ascii="仿宋_GB2312" w:hAnsi="仿宋_GB2312" w:eastAsia="仿宋_GB2312" w:cs="仿宋_GB2312"/>
          <w:color w:val="000000"/>
          <w:sz w:val="32"/>
          <w:szCs w:val="32"/>
        </w:rPr>
        <w:t>扁桃体及腺样体是儿童上气道重要的淋巴组织团块，因此扁桃体及腺样体肥大导致鼻咽气道及口咽气道狭窄是儿童OSA的重要致病因素。</w:t>
      </w:r>
    </w:p>
    <w:p w14:paraId="33EEBB6F">
      <w:pPr>
        <w:spacing w:after="0"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目前国内外研究表明OSA患儿体内存在系统性炎性及局部炎性微环境</w:t>
      </w:r>
      <w:r>
        <w:rPr>
          <w:rFonts w:hint="eastAsia" w:ascii="仿宋_GB2312" w:hAnsi="仿宋_GB2312" w:eastAsia="仿宋_GB2312" w:cs="仿宋_GB2312"/>
          <w:kern w:val="0"/>
          <w:sz w:val="32"/>
          <w:szCs w:val="32"/>
          <w:vertAlign w:val="superscript"/>
        </w:rPr>
        <w:fldChar w:fldCharType="begin">
          <w:fldData xml:space="preserve">PEVuZE5vdGU+PENpdGU+PEF1dGhvcj5Hb3phbDwvQXV0aG9yPjxZZWFyPjIwMDg8L1llYXI+PFJl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</w:fldData>
        </w:fldChar>
      </w:r>
      <w:r>
        <w:rPr>
          <w:rFonts w:hint="eastAsia" w:ascii="仿宋_GB2312" w:hAnsi="仿宋_GB2312" w:eastAsia="仿宋_GB2312" w:cs="仿宋_GB2312"/>
          <w:kern w:val="0"/>
          <w:sz w:val="32"/>
          <w:szCs w:val="32"/>
          <w:vertAlign w:val="superscript"/>
        </w:rPr>
        <w:instrText xml:space="preserve"> ADDIN EN.CITE </w:instrText>
      </w:r>
      <w:r>
        <w:rPr>
          <w:rFonts w:hint="eastAsia" w:ascii="仿宋_GB2312" w:hAnsi="仿宋_GB2312" w:eastAsia="仿宋_GB2312" w:cs="仿宋_GB2312"/>
          <w:kern w:val="0"/>
          <w:sz w:val="32"/>
          <w:szCs w:val="32"/>
          <w:vertAlign w:val="superscript"/>
        </w:rPr>
        <w:fldChar w:fldCharType="begin">
          <w:fldData xml:space="preserve">PEVuZE5vdGU+PENpdGU+PEF1dGhvcj5Hb3phbDwvQXV0aG9yPjxZZWFyPjIwMDg8L1llYXI+PFJl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</w:fldData>
        </w:fldChar>
      </w:r>
      <w:r>
        <w:rPr>
          <w:rFonts w:hint="eastAsia" w:ascii="仿宋_GB2312" w:hAnsi="仿宋_GB2312" w:eastAsia="仿宋_GB2312" w:cs="仿宋_GB2312"/>
          <w:kern w:val="0"/>
          <w:sz w:val="32"/>
          <w:szCs w:val="32"/>
          <w:vertAlign w:val="superscript"/>
        </w:rPr>
        <w:instrText xml:space="preserve"> ADDIN EN.CITE.DATA </w:instrText>
      </w:r>
      <w:r>
        <w:rPr>
          <w:rFonts w:hint="eastAsia" w:ascii="仿宋_GB2312" w:hAnsi="仿宋_GB2312" w:eastAsia="仿宋_GB2312" w:cs="仿宋_GB2312"/>
          <w:kern w:val="0"/>
          <w:sz w:val="32"/>
          <w:szCs w:val="32"/>
          <w:vertAlign w:val="superscript"/>
        </w:rPr>
        <w:fldChar w:fldCharType="end"/>
      </w:r>
      <w:r>
        <w:rPr>
          <w:rFonts w:hint="eastAsia" w:ascii="仿宋_GB2312" w:hAnsi="仿宋_GB2312" w:eastAsia="仿宋_GB2312" w:cs="仿宋_GB2312"/>
          <w:kern w:val="0"/>
          <w:sz w:val="32"/>
          <w:szCs w:val="32"/>
          <w:vertAlign w:val="superscript"/>
        </w:rPr>
        <w:fldChar w:fldCharType="separate"/>
      </w:r>
      <w:r>
        <w:rPr>
          <w:rFonts w:hint="eastAsia" w:ascii="仿宋_GB2312" w:hAnsi="仿宋_GB2312" w:eastAsia="仿宋_GB2312" w:cs="仿宋_GB2312"/>
          <w:kern w:val="0"/>
          <w:sz w:val="32"/>
          <w:szCs w:val="32"/>
          <w:vertAlign w:val="superscript"/>
        </w:rPr>
        <w:fldChar w:fldCharType="end"/>
      </w:r>
      <w:r>
        <w:rPr>
          <w:rFonts w:hint="eastAsia" w:ascii="仿宋_GB2312" w:hAnsi="仿宋_GB2312" w:eastAsia="仿宋_GB2312" w:cs="仿宋_GB2312"/>
          <w:kern w:val="0"/>
          <w:sz w:val="32"/>
          <w:szCs w:val="32"/>
        </w:rPr>
        <w:t>，儿童扁桃体及腺样体增生与炎性微环境有关。研究报道与儿童OSA相关的炎性因子有</w:t>
      </w:r>
      <w:r>
        <w:rPr>
          <w:rFonts w:hint="eastAsia" w:ascii="仿宋_GB2312" w:hAnsi="仿宋_GB2312" w:eastAsia="仿宋_GB2312" w:cs="仿宋_GB2312"/>
          <w:sz w:val="32"/>
          <w:szCs w:val="32"/>
        </w:rPr>
        <w:t>IL-6、IL-8 、IL-9、IL-10、IL-17及IL-23、IFN-γ、TNF-α和白三烯类、</w:t>
      </w:r>
      <w:r>
        <w:rPr>
          <w:rFonts w:hint="eastAsia" w:ascii="仿宋_GB2312" w:hAnsi="仿宋_GB2312" w:eastAsia="仿宋_GB2312" w:cs="仿宋_GB2312"/>
          <w:sz w:val="32"/>
          <w:szCs w:val="32"/>
          <w:shd w:val="clear" w:color="auto" w:fill="FFFFFF"/>
        </w:rPr>
        <w:t>TREM-1、Pentraxin-3</w:t>
      </w:r>
      <w:r>
        <w:rPr>
          <w:rFonts w:hint="eastAsia" w:ascii="仿宋_GB2312" w:hAnsi="仿宋_GB2312" w:eastAsia="仿宋_GB2312" w:cs="仿宋_GB2312"/>
          <w:sz w:val="32"/>
          <w:szCs w:val="32"/>
        </w:rPr>
        <w:t>。近来研究表明儿童OSA与变应性鼻炎等上气道粘膜炎症性疾病存在共患病，这些共患病影响了儿童OSA的预后，说明炎症微环境在儿童OSA发病中有重要作用。</w:t>
      </w:r>
    </w:p>
    <w:p w14:paraId="0D6E75AB">
      <w:pPr>
        <w:spacing w:after="0"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三、临床表现</w:t>
      </w:r>
    </w:p>
    <w:p w14:paraId="03BCF485">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（一）症状</w:t>
      </w:r>
    </w:p>
    <w:p w14:paraId="03FD6878">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1、睡眠相关症状</w:t>
      </w:r>
    </w:p>
    <w:p w14:paraId="5CC498B4">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1）打鼾：</w:t>
      </w:r>
      <w:r>
        <w:rPr>
          <w:rFonts w:hint="eastAsia" w:ascii="仿宋_GB2312" w:hAnsi="仿宋_GB2312" w:eastAsia="仿宋_GB2312" w:cs="仿宋_GB2312"/>
          <w:sz w:val="32"/>
          <w:szCs w:val="32"/>
        </w:rPr>
        <w:t>持续性或频繁打鼾（每周≥3晚），鼾声响亮且不规则，可能伴随呼吸暂停或喘息声。</w:t>
      </w:r>
    </w:p>
    <w:p w14:paraId="0581B7AC">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2）呼吸暂停或呼吸困难：</w:t>
      </w:r>
      <w:r>
        <w:rPr>
          <w:rFonts w:hint="eastAsia" w:ascii="仿宋_GB2312" w:hAnsi="仿宋_GB2312" w:eastAsia="仿宋_GB2312" w:cs="仿宋_GB2312"/>
          <w:sz w:val="32"/>
          <w:szCs w:val="32"/>
        </w:rPr>
        <w:t>睡眠中反复出现呼吸暂停（持续数秒至数十秒），随后突然觉醒或用力呼吸（如喘息、呛咳）。</w:t>
      </w:r>
    </w:p>
    <w:p w14:paraId="05BE5752">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3)异常睡姿：</w:t>
      </w:r>
      <w:r>
        <w:rPr>
          <w:rFonts w:hint="eastAsia" w:ascii="仿宋_GB2312" w:hAnsi="仿宋_GB2312" w:eastAsia="仿宋_GB2312" w:cs="仿宋_GB2312"/>
          <w:sz w:val="32"/>
          <w:szCs w:val="32"/>
        </w:rPr>
        <w:t>为保持气道通畅，儿童可能采取仰头、张口或颈部过伸的姿势。</w:t>
      </w:r>
    </w:p>
    <w:p w14:paraId="14262DDA">
      <w:pPr>
        <w:spacing w:after="0" w:line="360" w:lineRule="auto"/>
        <w:rPr>
          <w:rFonts w:hint="eastAsia" w:ascii="仿宋_GB2312" w:hAnsi="仿宋_GB2312" w:eastAsia="仿宋_GB2312" w:cs="仿宋_GB2312"/>
          <w:sz w:val="32"/>
          <w:szCs w:val="32"/>
        </w:rPr>
      </w:pPr>
      <w:bookmarkStart w:id="1" w:name="_Hlk190722510"/>
      <w:r>
        <w:rPr>
          <w:rFonts w:hint="eastAsia" w:ascii="仿宋_GB2312" w:hAnsi="仿宋_GB2312" w:eastAsia="仿宋_GB2312" w:cs="仿宋_GB2312"/>
          <w:sz w:val="32"/>
          <w:szCs w:val="32"/>
        </w:rPr>
        <w:t>4)</w:t>
      </w:r>
      <w:bookmarkEnd w:id="1"/>
      <w:r>
        <w:rPr>
          <w:rFonts w:hint="eastAsia" w:ascii="仿宋_GB2312" w:hAnsi="仿宋_GB2312" w:eastAsia="仿宋_GB2312" w:cs="仿宋_GB2312"/>
          <w:sz w:val="32"/>
          <w:szCs w:val="32"/>
        </w:rPr>
        <w:t>夜间多动或觉醒:睡眠片段化，频繁翻身、夜惊、多汗、尿床或遗尿。</w:t>
      </w:r>
    </w:p>
    <w:p w14:paraId="17B9C6E2">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2、日间症状</w:t>
      </w:r>
    </w:p>
    <w:p w14:paraId="7493CB1E">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1）行为异常：注意力不集中、多动、易怒或攻击性行为，可能被误诊为注意缺陷多动障碍（ADHD）。</w:t>
      </w:r>
    </w:p>
    <w:p w14:paraId="7807D723">
      <w:pPr>
        <w:spacing w:after="0" w:line="360" w:lineRule="auto"/>
        <w:rPr>
          <w:rFonts w:hint="eastAsia" w:ascii="仿宋_GB2312" w:hAnsi="仿宋_GB2312" w:eastAsia="仿宋_GB2312" w:cs="仿宋_GB2312"/>
          <w:sz w:val="32"/>
          <w:szCs w:val="32"/>
        </w:rPr>
      </w:pPr>
      <w:bookmarkStart w:id="2" w:name="_Hlk190722460"/>
      <w:r>
        <w:rPr>
          <w:rFonts w:hint="eastAsia" w:ascii="仿宋_GB2312" w:hAnsi="仿宋_GB2312" w:eastAsia="仿宋_GB2312" w:cs="仿宋_GB2312"/>
          <w:sz w:val="32"/>
          <w:szCs w:val="32"/>
        </w:rPr>
        <w:t>2）</w:t>
      </w:r>
      <w:bookmarkEnd w:id="2"/>
      <w:r>
        <w:rPr>
          <w:rFonts w:hint="eastAsia" w:ascii="仿宋_GB2312" w:hAnsi="仿宋_GB2312" w:eastAsia="仿宋_GB2312" w:cs="仿宋_GB2312"/>
          <w:sz w:val="32"/>
          <w:szCs w:val="32"/>
        </w:rPr>
        <w:t>嗜睡或疲倦：学龄儿童可能表现为白天嗜睡，而婴幼儿可能表现为烦躁或喂养困难。</w:t>
      </w:r>
    </w:p>
    <w:p w14:paraId="76CED6C6">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3)晨起症状：晨起头痛、口干或喉咙痛（因夜间张口呼吸）。</w:t>
      </w:r>
    </w:p>
    <w:p w14:paraId="78126855">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3、生长发育及体貌特征</w:t>
      </w:r>
    </w:p>
    <w:p w14:paraId="429BA33C">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1）生长发育迟缓：因睡眠质量差，影响生长激素分泌，可能导致身高体重增长缓慢。</w:t>
      </w:r>
    </w:p>
    <w:p w14:paraId="5FE66C56">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2）腺样体面容：长期口呼吸可导致上颌狭窄、下颌后缩、牙齿排列不齐、硬腭高拱等颌面骨发育异常。</w:t>
      </w:r>
    </w:p>
    <w:p w14:paraId="7D07A734">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3)其他体征：胸廓畸形，可表现为桶状胸、鸡胸、扁平胸、肋骨串珠等。</w:t>
      </w:r>
    </w:p>
    <w:p w14:paraId="29A667EF">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4、并发症</w:t>
      </w:r>
    </w:p>
    <w:p w14:paraId="15ADE7AE">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1）心血管问题：严重OSA可能引起高血压、肺动脉高压。</w:t>
      </w:r>
    </w:p>
    <w:p w14:paraId="3093599E">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2）神经认知损害：学习能力下降、记忆力减退、语言发育延迟。</w:t>
      </w:r>
    </w:p>
    <w:p w14:paraId="05299473">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3)代谢异常：肥胖或胰岛素抵抗风险增加。</w:t>
      </w:r>
    </w:p>
    <w:p w14:paraId="61A4E72D">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4)婴幼儿特殊表现：喂养困难、体重不增、频繁觉醒、呼吸费力。</w:t>
      </w:r>
    </w:p>
    <w:p w14:paraId="5712AFF2">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（二）体征</w:t>
      </w:r>
    </w:p>
    <w:p w14:paraId="3060E266">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1、上气道结构异常</w:t>
      </w:r>
    </w:p>
    <w:p w14:paraId="0FDA2E10">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扁桃体肥大：常为Ⅲ度肿大（几乎占据口咽腔）。</w:t>
      </w:r>
    </w:p>
    <w:p w14:paraId="4025C878">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腺样体肥大：鼻咽部腺样体增生，可通过鼻咽镜或影像学检查发现。</w:t>
      </w:r>
    </w:p>
    <w:p w14:paraId="4D2F92C0">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鼻腔阻塞：如鼻中隔偏曲、鼻甲肥大。</w:t>
      </w:r>
    </w:p>
    <w:p w14:paraId="04BC4BEE">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2、颌面部发育异常（腺样体面容）</w:t>
      </w:r>
    </w:p>
    <w:p w14:paraId="46B99598">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上颌骨狭窄：导致腭骨高拱、牙齿排列不齐（如龅牙）。</w:t>
      </w:r>
    </w:p>
    <w:p w14:paraId="58ACC188">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下颌后缩：下巴短小或后缩，面容呈“鸟嘴样”。</w:t>
      </w:r>
    </w:p>
    <w:p w14:paraId="76896C06">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长脸综合征：因长期张口呼吸导致面部垂直生长过度。</w:t>
      </w:r>
    </w:p>
    <w:p w14:paraId="1102186B">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3、呼吸费力表现</w:t>
      </w:r>
    </w:p>
    <w:p w14:paraId="186F8CA0">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胸骨/肋间隙凹陷：吸气时胸骨上窝、锁骨上窝或肋间肌内陷（提示气道阻塞）。</w:t>
      </w:r>
    </w:p>
    <w:p w14:paraId="0A72A21B">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异常呼吸模式：张口呼吸、鼻翼扇动或呼吸节律不整。</w:t>
      </w:r>
    </w:p>
    <w:p w14:paraId="6AC1A05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4、睡眠中可观察到的体征</w:t>
      </w:r>
    </w:p>
    <w:p w14:paraId="21308B09">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呼吸暂停</w:t>
      </w:r>
      <w:r>
        <w:rPr>
          <w:rFonts w:hint="eastAsia" w:ascii="仿宋_GB2312" w:hAnsi="仿宋_GB2312" w:eastAsia="仿宋_GB2312" w:cs="仿宋_GB2312"/>
          <w:sz w:val="32"/>
          <w:szCs w:val="32"/>
        </w:rPr>
        <w:t>：呼吸停止持续≥10秒，伴随血氧饱和度下降（需多导睡眠监测确认）。</w:t>
      </w:r>
    </w:p>
    <w:p w14:paraId="5E52ADE9">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鼾声异常：响亮且不规则的打鼾，中间夹杂喘息或呛咳声。</w:t>
      </w:r>
    </w:p>
    <w:p w14:paraId="24E6B517">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多汗：因呼吸费力导致夜间大量出汗，尤其是颈背部。</w:t>
      </w:r>
    </w:p>
    <w:p w14:paraId="41BDE6FB">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异常体位：睡眠中频繁翻身、仰头或颈部过度伸展以维持气道开放。</w:t>
      </w:r>
    </w:p>
    <w:p w14:paraId="2D530ACB">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5、生长发育相关体征</w:t>
      </w:r>
    </w:p>
    <w:p w14:paraId="65D1DEE4">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生长迟缓：因生长激素分泌受干扰部分儿童身高、体重低于同龄儿童。</w:t>
      </w:r>
    </w:p>
    <w:p w14:paraId="3F60C62B">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肥胖：脂肪堆积加重气道狭窄部分患儿合并肥胖，颈围增粗。</w:t>
      </w:r>
    </w:p>
    <w:p w14:paraId="7E9F2454">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6、其他体征</w:t>
      </w:r>
    </w:p>
    <w:p w14:paraId="3A419A02">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血压升高：长期缺氧可能导致晨起高血压（需动态血压监测）。</w:t>
      </w:r>
    </w:p>
    <w:p w14:paraId="01BE235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口咽部干燥/充血：因长期张口呼吸导致咽部黏膜干燥或慢性炎症。</w:t>
      </w:r>
    </w:p>
    <w:p w14:paraId="765F31B9">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黑眼圈或面色苍白：睡眠质量差引起的慢性缺氧表现。</w:t>
      </w:r>
    </w:p>
    <w:p w14:paraId="3D0373FB">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7、婴幼儿特殊体征</w:t>
      </w:r>
    </w:p>
    <w:p w14:paraId="488532A2">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喂养困难：吸吮-呼吸协调障碍，易呛咳或拒奶。</w:t>
      </w:r>
    </w:p>
    <w:p w14:paraId="38F4518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胸廓畸形：严重者出现漏斗胸或鸡胸。</w:t>
      </w:r>
    </w:p>
    <w:p w14:paraId="7B2CCBD1">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生长发育停滞：体重不增、头围增长缓慢。</w:t>
      </w:r>
    </w:p>
    <w:p w14:paraId="1D049E10">
      <w:pPr>
        <w:spacing w:after="0"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四、辅助检查</w:t>
      </w:r>
    </w:p>
    <w:p w14:paraId="41157F34">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1．影像学检查：X线侧位片或CT评估腺样体/扁桃体大小及气道狭窄程度。</w:t>
      </w:r>
    </w:p>
    <w:p w14:paraId="70A7D28E">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2．内镜检查：评估腺样体、扁桃体大小、鼻咽肿物等。</w:t>
      </w:r>
    </w:p>
    <w:p w14:paraId="14064347">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3．睡眠量表：儿童常用OSA-18量表。</w:t>
      </w:r>
    </w:p>
    <w:p w14:paraId="3DD32729">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4．鼾声录音、睡眠床垫、睡眠筛查设备。</w:t>
      </w:r>
    </w:p>
    <w:p w14:paraId="356FBF8E">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 多导睡眠检测（PSG）：确诊OSA的金标准，可记录呼吸暂停低通气指数（AHI）、血氧饱和度下降等客观数据。</w:t>
      </w:r>
    </w:p>
    <w:p w14:paraId="7C8B68E0">
      <w:pPr>
        <w:spacing w:after="0"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五、诊断 </w:t>
      </w:r>
    </w:p>
    <w:p w14:paraId="70E68FFB">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1.诊断标准：儿童OSA的诊断需结合临床表现、体格检查及多导睡眠监测。</w:t>
      </w:r>
    </w:p>
    <w:p w14:paraId="7CA31A08">
      <w:pPr>
        <w:spacing w:after="0" w:line="360" w:lineRule="auto"/>
        <w:rPr>
          <w:rFonts w:hint="eastAsia" w:ascii="仿宋_GB2312" w:hAnsi="仿宋_GB2312" w:eastAsia="仿宋_GB2312" w:cs="仿宋_GB2312"/>
          <w:color w:val="222222"/>
          <w:sz w:val="24"/>
          <w:shd w:val="clear" w:color="auto" w:fill="FFFFFF"/>
          <w14:ligatures w14:val="none"/>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6"/>
        <w:gridCol w:w="5040"/>
      </w:tblGrid>
      <w:tr w14:paraId="4A461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14:paraId="182A9886">
            <w:pPr>
              <w:spacing w:after="0" w:line="360" w:lineRule="auto"/>
              <w:rPr>
                <w:rFonts w:hint="eastAsia" w:ascii="仿宋_GB2312" w:hAnsi="仿宋_GB2312" w:eastAsia="仿宋_GB2312" w:cs="仿宋_GB2312"/>
                <w:color w:val="222222"/>
                <w:sz w:val="24"/>
                <w:shd w:val="clear" w:color="auto" w:fill="FFFFFF"/>
                <w14:ligatures w14:val="none"/>
              </w:rPr>
            </w:pPr>
            <w:r>
              <w:rPr>
                <w:rFonts w:hint="eastAsia" w:ascii="仿宋_GB2312" w:hAnsi="仿宋_GB2312" w:eastAsia="仿宋_GB2312" w:cs="仿宋_GB2312"/>
                <w:color w:val="222222"/>
                <w:sz w:val="24"/>
                <w:shd w:val="clear" w:color="auto" w:fill="FFFFFF"/>
                <w14:ligatures w14:val="none"/>
              </w:rPr>
              <w:t>指标</w:t>
            </w:r>
          </w:p>
        </w:tc>
        <w:tc>
          <w:tcPr>
            <w:tcW w:w="5040" w:type="dxa"/>
          </w:tcPr>
          <w:p w14:paraId="28E73E19">
            <w:pPr>
              <w:spacing w:after="0" w:line="360" w:lineRule="auto"/>
              <w:rPr>
                <w:rFonts w:hint="eastAsia" w:ascii="仿宋_GB2312" w:hAnsi="仿宋_GB2312" w:eastAsia="仿宋_GB2312" w:cs="仿宋_GB2312"/>
                <w:color w:val="222222"/>
                <w:sz w:val="24"/>
                <w:shd w:val="clear" w:color="auto" w:fill="FFFFFF"/>
                <w14:ligatures w14:val="none"/>
              </w:rPr>
            </w:pPr>
            <w:r>
              <w:rPr>
                <w:rFonts w:hint="eastAsia" w:ascii="仿宋_GB2312" w:hAnsi="仿宋_GB2312" w:eastAsia="仿宋_GB2312" w:cs="仿宋_GB2312"/>
                <w:sz w:val="24"/>
              </w:rPr>
              <w:t>诊断阈值</w:t>
            </w:r>
          </w:p>
        </w:tc>
      </w:tr>
      <w:tr w14:paraId="41318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3256" w:type="dxa"/>
          </w:tcPr>
          <w:p w14:paraId="7ED258C4">
            <w:pPr>
              <w:spacing w:after="0" w:line="360" w:lineRule="auto"/>
              <w:rPr>
                <w:rFonts w:hint="eastAsia" w:ascii="仿宋_GB2312" w:hAnsi="仿宋_GB2312" w:eastAsia="仿宋_GB2312" w:cs="仿宋_GB2312"/>
                <w:color w:val="222222"/>
                <w:sz w:val="24"/>
                <w:shd w:val="clear" w:color="auto" w:fill="FFFFFF"/>
                <w14:ligatures w14:val="none"/>
              </w:rPr>
            </w:pPr>
            <w:r>
              <w:rPr>
                <w:rFonts w:hint="eastAsia" w:ascii="仿宋_GB2312" w:hAnsi="仿宋_GB2312" w:eastAsia="仿宋_GB2312" w:cs="仿宋_GB2312"/>
                <w:sz w:val="24"/>
              </w:rPr>
              <w:t>呼吸暂停低通气指（AHI）</w:t>
            </w:r>
          </w:p>
        </w:tc>
        <w:tc>
          <w:tcPr>
            <w:tcW w:w="5040" w:type="dxa"/>
          </w:tcPr>
          <w:p w14:paraId="48781103">
            <w:pPr>
              <w:spacing w:after="0" w:line="360" w:lineRule="auto"/>
              <w:rPr>
                <w:rFonts w:hint="eastAsia" w:ascii="仿宋_GB2312" w:hAnsi="仿宋_GB2312" w:eastAsia="仿宋_GB2312" w:cs="仿宋_GB2312"/>
                <w:color w:val="222222"/>
                <w:sz w:val="24"/>
                <w:shd w:val="clear" w:color="auto" w:fill="FFFFFF"/>
                <w14:ligatures w14:val="none"/>
              </w:rPr>
            </w:pPr>
            <w:r>
              <w:rPr>
                <w:rFonts w:hint="eastAsia" w:ascii="仿宋_GB2312" w:hAnsi="仿宋_GB2312" w:eastAsia="仿宋_GB2312" w:cs="仿宋_GB2312"/>
                <w:sz w:val="24"/>
              </w:rPr>
              <w:t>AHI</w:t>
            </w:r>
            <w:r>
              <w:rPr>
                <w:rFonts w:hint="eastAsia" w:ascii="仿宋_GB2312" w:hAnsi="仿宋_GB2312" w:eastAsia="仿宋_GB2312" w:cs="仿宋_GB2312"/>
                <w:color w:val="404040"/>
                <w:sz w:val="24"/>
              </w:rPr>
              <w:t xml:space="preserve"> &gt;5次/小时）</w:t>
            </w:r>
          </w:p>
        </w:tc>
      </w:tr>
      <w:tr w14:paraId="713E4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14:paraId="234783D0">
            <w:pPr>
              <w:spacing w:after="0" w:line="360" w:lineRule="auto"/>
              <w:rPr>
                <w:rFonts w:hint="eastAsia" w:ascii="仿宋_GB2312" w:hAnsi="仿宋_GB2312" w:eastAsia="仿宋_GB2312" w:cs="仿宋_GB2312"/>
                <w:color w:val="222222"/>
                <w:sz w:val="24"/>
                <w:shd w:val="clear" w:color="auto" w:fill="FFFFFF"/>
                <w14:ligatures w14:val="none"/>
              </w:rPr>
            </w:pPr>
            <w:r>
              <w:rPr>
                <w:rFonts w:hint="eastAsia" w:ascii="仿宋_GB2312" w:hAnsi="仿宋_GB2312" w:eastAsia="仿宋_GB2312" w:cs="仿宋_GB2312"/>
                <w:sz w:val="24"/>
              </w:rPr>
              <w:t>阻塞性呼吸暂停指（OAI）</w:t>
            </w:r>
          </w:p>
        </w:tc>
        <w:tc>
          <w:tcPr>
            <w:tcW w:w="5040" w:type="dxa"/>
          </w:tcPr>
          <w:p w14:paraId="3E44D222">
            <w:pPr>
              <w:spacing w:after="0" w:line="360" w:lineRule="auto"/>
              <w:rPr>
                <w:rFonts w:hint="eastAsia" w:ascii="仿宋_GB2312" w:hAnsi="仿宋_GB2312" w:eastAsia="仿宋_GB2312" w:cs="仿宋_GB2312"/>
                <w:color w:val="222222"/>
                <w:sz w:val="24"/>
                <w:shd w:val="clear" w:color="auto" w:fill="FFFFFF"/>
                <w14:ligatures w14:val="none"/>
              </w:rPr>
            </w:pPr>
            <w:r>
              <w:rPr>
                <w:rFonts w:hint="eastAsia" w:ascii="仿宋_GB2312" w:hAnsi="仿宋_GB2312" w:eastAsia="仿宋_GB2312" w:cs="仿宋_GB2312"/>
                <w:sz w:val="24"/>
              </w:rPr>
              <w:t>OAI</w:t>
            </w:r>
            <w:r>
              <w:rPr>
                <w:rFonts w:hint="eastAsia" w:ascii="仿宋_GB2312" w:hAnsi="仿宋_GB2312" w:eastAsia="仿宋_GB2312" w:cs="仿宋_GB2312"/>
                <w:color w:val="404040"/>
                <w:sz w:val="24"/>
              </w:rPr>
              <w:t xml:space="preserve"> &gt;1次/小时</w:t>
            </w:r>
          </w:p>
        </w:tc>
      </w:tr>
      <w:tr w14:paraId="1E71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3256" w:type="dxa"/>
          </w:tcPr>
          <w:p w14:paraId="7C9D89B3">
            <w:pPr>
              <w:spacing w:after="0" w:line="360" w:lineRule="auto"/>
              <w:rPr>
                <w:rFonts w:hint="eastAsia" w:ascii="仿宋_GB2312" w:hAnsi="仿宋_GB2312" w:eastAsia="仿宋_GB2312" w:cs="仿宋_GB2312"/>
                <w:color w:val="222222"/>
                <w:sz w:val="24"/>
                <w:shd w:val="clear" w:color="auto" w:fill="FFFFFF"/>
                <w14:ligatures w14:val="none"/>
              </w:rPr>
            </w:pPr>
            <w:r>
              <w:rPr>
                <w:rFonts w:hint="eastAsia" w:ascii="仿宋_GB2312" w:hAnsi="仿宋_GB2312" w:eastAsia="仿宋_GB2312" w:cs="仿宋_GB2312"/>
                <w:color w:val="222222"/>
                <w:sz w:val="24"/>
                <w:shd w:val="clear" w:color="auto" w:fill="FFFFFF"/>
                <w14:ligatures w14:val="none"/>
              </w:rPr>
              <w:t>血氧饱和度下降（SaO</w:t>
            </w:r>
            <w:r>
              <w:rPr>
                <w:rFonts w:hint="eastAsia" w:ascii="仿宋_GB2312" w:hAnsi="仿宋_GB2312" w:eastAsia="仿宋_GB2312" w:cs="仿宋_GB2312"/>
                <w:color w:val="222222"/>
                <w:sz w:val="24"/>
                <w:shd w:val="clear" w:color="auto" w:fill="FFFFFF"/>
                <w:vertAlign w:val="subscript"/>
                <w14:ligatures w14:val="none"/>
              </w:rPr>
              <w:t>2</w:t>
            </w:r>
            <w:r>
              <w:rPr>
                <w:rFonts w:hint="eastAsia" w:ascii="仿宋_GB2312" w:hAnsi="仿宋_GB2312" w:eastAsia="仿宋_GB2312" w:cs="仿宋_GB2312"/>
                <w:color w:val="222222"/>
                <w:sz w:val="24"/>
                <w:shd w:val="clear" w:color="auto" w:fill="FFFFFF"/>
                <w14:ligatures w14:val="none"/>
              </w:rPr>
              <w:t>）</w:t>
            </w:r>
          </w:p>
        </w:tc>
        <w:tc>
          <w:tcPr>
            <w:tcW w:w="5040" w:type="dxa"/>
          </w:tcPr>
          <w:p w14:paraId="3FF112F4">
            <w:pPr>
              <w:spacing w:after="0" w:line="360" w:lineRule="auto"/>
              <w:rPr>
                <w:rFonts w:hint="eastAsia" w:ascii="仿宋_GB2312" w:hAnsi="仿宋_GB2312" w:eastAsia="仿宋_GB2312" w:cs="仿宋_GB2312"/>
                <w:color w:val="222222"/>
                <w:sz w:val="24"/>
                <w:shd w:val="clear" w:color="auto" w:fill="FFFFFF"/>
                <w14:ligatures w14:val="none"/>
              </w:rPr>
            </w:pPr>
            <w:r>
              <w:rPr>
                <w:rFonts w:hint="eastAsia" w:ascii="仿宋_GB2312" w:hAnsi="仿宋_GB2312" w:eastAsia="仿宋_GB2312" w:cs="仿宋_GB2312"/>
                <w:color w:val="222222"/>
                <w:sz w:val="24"/>
                <w:shd w:val="clear" w:color="auto" w:fill="FFFFFF"/>
                <w14:ligatures w14:val="none"/>
              </w:rPr>
              <w:t>SaO</w:t>
            </w:r>
            <w:r>
              <w:rPr>
                <w:rFonts w:hint="eastAsia" w:ascii="仿宋_GB2312" w:hAnsi="仿宋_GB2312" w:eastAsia="仿宋_GB2312" w:cs="仿宋_GB2312"/>
                <w:color w:val="222222"/>
                <w:sz w:val="24"/>
                <w:shd w:val="clear" w:color="auto" w:fill="FFFFFF"/>
                <w:vertAlign w:val="subscript"/>
                <w14:ligatures w14:val="none"/>
              </w:rPr>
              <w:t>2</w:t>
            </w:r>
            <w:r>
              <w:rPr>
                <w:rFonts w:hint="eastAsia" w:ascii="仿宋_GB2312" w:hAnsi="仿宋_GB2312" w:eastAsia="仿宋_GB2312" w:cs="仿宋_GB2312"/>
                <w:color w:val="222222"/>
                <w:sz w:val="24"/>
                <w:shd w:val="clear" w:color="auto" w:fill="FFFFFF"/>
                <w14:ligatures w14:val="none"/>
              </w:rPr>
              <w:t>下降</w:t>
            </w:r>
          </w:p>
        </w:tc>
      </w:tr>
    </w:tbl>
    <w:p w14:paraId="1F4312D1">
      <w:pPr>
        <w:spacing w:after="0" w:line="360" w:lineRule="auto"/>
        <w:rPr>
          <w:rFonts w:hint="eastAsia" w:ascii="仿宋_GB2312" w:hAnsi="仿宋_GB2312" w:eastAsia="仿宋_GB2312" w:cs="仿宋_GB2312"/>
          <w:color w:val="222222"/>
          <w:sz w:val="24"/>
          <w:shd w:val="clear" w:color="auto" w:fill="FFFFFF"/>
          <w14:ligatures w14:val="none"/>
        </w:rPr>
      </w:pPr>
    </w:p>
    <w:p w14:paraId="78AD311A">
      <w:pPr>
        <w:spacing w:after="0" w:line="360" w:lineRule="auto"/>
        <w:rPr>
          <w:rFonts w:hint="eastAsia" w:ascii="仿宋_GB2312" w:hAnsi="仿宋_GB2312" w:eastAsia="仿宋_GB2312" w:cs="仿宋_GB2312"/>
          <w:color w:val="222222"/>
          <w:sz w:val="24"/>
          <w:shd w:val="clear" w:color="auto" w:fill="FFFFFF"/>
          <w14:ligatures w14:val="none"/>
        </w:rPr>
      </w:pPr>
      <w:r>
        <w:rPr>
          <w:rFonts w:hint="eastAsia" w:ascii="仿宋_GB2312" w:hAnsi="仿宋_GB2312" w:eastAsia="仿宋_GB2312" w:cs="仿宋_GB2312"/>
          <w:color w:val="222222"/>
          <w:sz w:val="24"/>
          <w:shd w:val="clear" w:color="auto" w:fill="FFFFFF"/>
          <w14:ligatures w14:val="none"/>
        </w:rPr>
        <w:t>2.严重程度分度：基于</w:t>
      </w:r>
      <w:r>
        <w:rPr>
          <w:rFonts w:hint="eastAsia" w:ascii="仿宋_GB2312" w:hAnsi="仿宋_GB2312" w:eastAsia="仿宋_GB2312" w:cs="仿宋_GB2312"/>
          <w:sz w:val="24"/>
        </w:rPr>
        <w:t> PSG结果（AHI或OAHI及血氧</w:t>
      </w:r>
      <w:r>
        <w:rPr>
          <w:rFonts w:hint="eastAsia" w:ascii="仿宋_GB2312" w:hAnsi="仿宋_GB2312" w:eastAsia="仿宋_GB2312" w:cs="仿宋_GB2312"/>
          <w:color w:val="222222"/>
          <w:sz w:val="24"/>
          <w:shd w:val="clear" w:color="auto" w:fill="FFFFFF"/>
          <w14:ligatures w14:val="none"/>
        </w:rPr>
        <w:t>SaO</w:t>
      </w:r>
      <w:r>
        <w:rPr>
          <w:rFonts w:hint="eastAsia" w:ascii="仿宋_GB2312" w:hAnsi="仿宋_GB2312" w:eastAsia="仿宋_GB2312" w:cs="仿宋_GB2312"/>
          <w:color w:val="222222"/>
          <w:sz w:val="24"/>
          <w:shd w:val="clear" w:color="auto" w:fill="FFFFFF"/>
          <w:vertAlign w:val="subscript"/>
          <w14:ligatures w14:val="none"/>
        </w:rPr>
        <w:t>2</w:t>
      </w:r>
      <w:r>
        <w:rPr>
          <w:rFonts w:hint="eastAsia" w:ascii="仿宋_GB2312" w:hAnsi="仿宋_GB2312" w:eastAsia="仿宋_GB2312" w:cs="仿宋_GB2312"/>
          <w:sz w:val="24"/>
        </w:rPr>
        <w:t>水平）分为三度</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5C030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6403F0BC">
            <w:pPr>
              <w:spacing w:after="0" w:line="360" w:lineRule="auto"/>
              <w:rPr>
                <w:rFonts w:hint="eastAsia" w:ascii="仿宋_GB2312" w:hAnsi="仿宋_GB2312" w:eastAsia="仿宋_GB2312" w:cs="仿宋_GB2312"/>
                <w:color w:val="222222"/>
                <w:sz w:val="24"/>
                <w:shd w:val="clear" w:color="auto" w:fill="FFFFFF"/>
                <w14:ligatures w14:val="none"/>
              </w:rPr>
            </w:pPr>
            <w:r>
              <w:rPr>
                <w:rFonts w:hint="eastAsia" w:ascii="仿宋_GB2312" w:hAnsi="仿宋_GB2312" w:eastAsia="仿宋_GB2312" w:cs="仿宋_GB2312"/>
                <w:color w:val="222222"/>
                <w:sz w:val="24"/>
                <w:shd w:val="clear" w:color="auto" w:fill="FFFFFF"/>
                <w14:ligatures w14:val="none"/>
              </w:rPr>
              <w:t>病情程度</w:t>
            </w:r>
          </w:p>
        </w:tc>
        <w:tc>
          <w:tcPr>
            <w:tcW w:w="2765" w:type="dxa"/>
          </w:tcPr>
          <w:p w14:paraId="063736E4">
            <w:pPr>
              <w:spacing w:after="0" w:line="360" w:lineRule="auto"/>
              <w:rPr>
                <w:rFonts w:hint="eastAsia" w:ascii="仿宋_GB2312" w:hAnsi="仿宋_GB2312" w:eastAsia="仿宋_GB2312" w:cs="仿宋_GB2312"/>
                <w:color w:val="222222"/>
                <w:sz w:val="24"/>
                <w:shd w:val="clear" w:color="auto" w:fill="FFFFFF"/>
                <w14:ligatures w14:val="none"/>
              </w:rPr>
            </w:pPr>
            <w:r>
              <w:rPr>
                <w:rFonts w:hint="eastAsia" w:ascii="仿宋_GB2312" w:hAnsi="仿宋_GB2312" w:eastAsia="仿宋_GB2312" w:cs="仿宋_GB2312"/>
                <w:sz w:val="24"/>
              </w:rPr>
              <w:t>AHI或OAHI</w:t>
            </w:r>
          </w:p>
        </w:tc>
        <w:tc>
          <w:tcPr>
            <w:tcW w:w="2766" w:type="dxa"/>
          </w:tcPr>
          <w:p w14:paraId="0F416D19">
            <w:pPr>
              <w:spacing w:after="0" w:line="360" w:lineRule="auto"/>
              <w:rPr>
                <w:rFonts w:hint="eastAsia" w:ascii="仿宋_GB2312" w:hAnsi="仿宋_GB2312" w:eastAsia="仿宋_GB2312" w:cs="仿宋_GB2312"/>
                <w:color w:val="222222"/>
                <w:sz w:val="24"/>
                <w:shd w:val="clear" w:color="auto" w:fill="FFFFFF"/>
                <w14:ligatures w14:val="none"/>
              </w:rPr>
            </w:pPr>
            <w:r>
              <w:rPr>
                <w:rFonts w:hint="eastAsia" w:ascii="仿宋_GB2312" w:hAnsi="仿宋_GB2312" w:eastAsia="仿宋_GB2312" w:cs="仿宋_GB2312"/>
                <w:color w:val="222222"/>
                <w:sz w:val="24"/>
                <w:shd w:val="clear" w:color="auto" w:fill="FFFFFF"/>
                <w14:ligatures w14:val="none"/>
              </w:rPr>
              <w:t>SaO</w:t>
            </w:r>
            <w:r>
              <w:rPr>
                <w:rFonts w:hint="eastAsia" w:ascii="仿宋_GB2312" w:hAnsi="仿宋_GB2312" w:eastAsia="仿宋_GB2312" w:cs="仿宋_GB2312"/>
                <w:color w:val="222222"/>
                <w:sz w:val="24"/>
                <w:shd w:val="clear" w:color="auto" w:fill="FFFFFF"/>
                <w:vertAlign w:val="subscript"/>
                <w14:ligatures w14:val="none"/>
              </w:rPr>
              <w:t>2</w:t>
            </w:r>
          </w:p>
        </w:tc>
      </w:tr>
      <w:tr w14:paraId="76352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7B60C44F">
            <w:pPr>
              <w:spacing w:after="0" w:line="360" w:lineRule="auto"/>
              <w:rPr>
                <w:rFonts w:hint="eastAsia" w:ascii="仿宋_GB2312" w:hAnsi="仿宋_GB2312" w:eastAsia="仿宋_GB2312" w:cs="仿宋_GB2312"/>
                <w:color w:val="222222"/>
                <w:sz w:val="24"/>
                <w:shd w:val="clear" w:color="auto" w:fill="FFFFFF"/>
                <w14:ligatures w14:val="none"/>
              </w:rPr>
            </w:pPr>
            <w:r>
              <w:rPr>
                <w:rFonts w:hint="eastAsia" w:ascii="仿宋_GB2312" w:hAnsi="仿宋_GB2312" w:eastAsia="仿宋_GB2312" w:cs="仿宋_GB2312"/>
                <w:color w:val="222222"/>
                <w:sz w:val="24"/>
                <w:shd w:val="clear" w:color="auto" w:fill="FFFFFF"/>
                <w14:ligatures w14:val="none"/>
              </w:rPr>
              <w:t>轻度</w:t>
            </w:r>
          </w:p>
        </w:tc>
        <w:tc>
          <w:tcPr>
            <w:tcW w:w="2765" w:type="dxa"/>
          </w:tcPr>
          <w:p w14:paraId="4A57FFF6">
            <w:pPr>
              <w:spacing w:after="0" w:line="360" w:lineRule="auto"/>
              <w:rPr>
                <w:rFonts w:hint="eastAsia" w:ascii="仿宋_GB2312" w:hAnsi="仿宋_GB2312" w:eastAsia="仿宋_GB2312" w:cs="仿宋_GB2312"/>
                <w:color w:val="222222"/>
                <w:sz w:val="24"/>
                <w:shd w:val="clear" w:color="auto" w:fill="FFFFFF"/>
                <w14:ligatures w14:val="none"/>
              </w:rPr>
            </w:pPr>
            <w:r>
              <w:rPr>
                <w:rFonts w:hint="eastAsia" w:ascii="仿宋_GB2312" w:hAnsi="仿宋_GB2312" w:eastAsia="仿宋_GB2312" w:cs="仿宋_GB2312"/>
                <w:color w:val="222222"/>
                <w:sz w:val="24"/>
                <w:shd w:val="clear" w:color="auto" w:fill="FFFFFF"/>
                <w14:ligatures w14:val="none"/>
              </w:rPr>
              <w:t>5-10或1-5</w:t>
            </w:r>
          </w:p>
        </w:tc>
        <w:tc>
          <w:tcPr>
            <w:tcW w:w="2766" w:type="dxa"/>
          </w:tcPr>
          <w:p w14:paraId="2D03648C">
            <w:pPr>
              <w:spacing w:after="0" w:line="360" w:lineRule="auto"/>
              <w:rPr>
                <w:rFonts w:hint="eastAsia" w:ascii="仿宋_GB2312" w:hAnsi="仿宋_GB2312" w:eastAsia="仿宋_GB2312" w:cs="仿宋_GB2312"/>
                <w:color w:val="222222"/>
                <w:sz w:val="24"/>
                <w:shd w:val="clear" w:color="auto" w:fill="FFFFFF"/>
                <w14:ligatures w14:val="none"/>
              </w:rPr>
            </w:pPr>
            <w:r>
              <w:rPr>
                <w:rFonts w:hint="eastAsia" w:ascii="仿宋_GB2312" w:hAnsi="仿宋_GB2312" w:eastAsia="仿宋_GB2312" w:cs="仿宋_GB2312"/>
                <w:color w:val="222222"/>
                <w:sz w:val="24"/>
                <w:shd w:val="clear" w:color="auto" w:fill="FFFFFF"/>
                <w14:ligatures w14:val="none"/>
              </w:rPr>
              <w:t>0.85-91</w:t>
            </w:r>
          </w:p>
        </w:tc>
      </w:tr>
      <w:tr w14:paraId="3A24B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6F8F9665">
            <w:pPr>
              <w:spacing w:after="0" w:line="360" w:lineRule="auto"/>
              <w:rPr>
                <w:rFonts w:hint="eastAsia" w:ascii="仿宋_GB2312" w:hAnsi="仿宋_GB2312" w:eastAsia="仿宋_GB2312" w:cs="仿宋_GB2312"/>
                <w:color w:val="222222"/>
                <w:sz w:val="24"/>
                <w:shd w:val="clear" w:color="auto" w:fill="FFFFFF"/>
                <w14:ligatures w14:val="none"/>
              </w:rPr>
            </w:pPr>
            <w:r>
              <w:rPr>
                <w:rFonts w:hint="eastAsia" w:ascii="仿宋_GB2312" w:hAnsi="仿宋_GB2312" w:eastAsia="仿宋_GB2312" w:cs="仿宋_GB2312"/>
                <w:color w:val="222222"/>
                <w:sz w:val="24"/>
                <w:shd w:val="clear" w:color="auto" w:fill="FFFFFF"/>
                <w14:ligatures w14:val="none"/>
              </w:rPr>
              <w:t>中度</w:t>
            </w:r>
          </w:p>
        </w:tc>
        <w:tc>
          <w:tcPr>
            <w:tcW w:w="2765" w:type="dxa"/>
          </w:tcPr>
          <w:p w14:paraId="7289A2B0">
            <w:pPr>
              <w:spacing w:after="0" w:line="360" w:lineRule="auto"/>
              <w:rPr>
                <w:rFonts w:hint="eastAsia" w:ascii="仿宋_GB2312" w:hAnsi="仿宋_GB2312" w:eastAsia="仿宋_GB2312" w:cs="仿宋_GB2312"/>
                <w:color w:val="222222"/>
                <w:sz w:val="24"/>
                <w:shd w:val="clear" w:color="auto" w:fill="FFFFFF"/>
                <w14:ligatures w14:val="none"/>
              </w:rPr>
            </w:pPr>
            <w:r>
              <w:rPr>
                <w:rFonts w:hint="eastAsia" w:ascii="仿宋_GB2312" w:hAnsi="仿宋_GB2312" w:eastAsia="仿宋_GB2312" w:cs="仿宋_GB2312"/>
                <w:color w:val="222222"/>
                <w:sz w:val="24"/>
                <w:shd w:val="clear" w:color="auto" w:fill="FFFFFF"/>
                <w14:ligatures w14:val="none"/>
              </w:rPr>
              <w:t>~20或~10</w:t>
            </w:r>
          </w:p>
        </w:tc>
        <w:tc>
          <w:tcPr>
            <w:tcW w:w="2766" w:type="dxa"/>
          </w:tcPr>
          <w:p w14:paraId="25333FD6">
            <w:pPr>
              <w:spacing w:after="0" w:line="360" w:lineRule="auto"/>
              <w:rPr>
                <w:rFonts w:hint="eastAsia" w:ascii="仿宋_GB2312" w:hAnsi="仿宋_GB2312" w:eastAsia="仿宋_GB2312" w:cs="仿宋_GB2312"/>
                <w:color w:val="222222"/>
                <w:sz w:val="24"/>
                <w:shd w:val="clear" w:color="auto" w:fill="FFFFFF"/>
                <w14:ligatures w14:val="none"/>
              </w:rPr>
            </w:pPr>
            <w:r>
              <w:rPr>
                <w:rFonts w:hint="eastAsia" w:ascii="仿宋_GB2312" w:hAnsi="仿宋_GB2312" w:eastAsia="仿宋_GB2312" w:cs="仿宋_GB2312"/>
                <w:color w:val="222222"/>
                <w:sz w:val="24"/>
                <w:shd w:val="clear" w:color="auto" w:fill="FFFFFF"/>
                <w14:ligatures w14:val="none"/>
              </w:rPr>
              <w:t>0.75-0.84</w:t>
            </w:r>
          </w:p>
        </w:tc>
      </w:tr>
      <w:tr w14:paraId="19EFE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765" w:type="dxa"/>
          </w:tcPr>
          <w:p w14:paraId="2EC016B4">
            <w:pPr>
              <w:spacing w:after="0" w:line="360" w:lineRule="auto"/>
              <w:rPr>
                <w:rFonts w:hint="eastAsia" w:ascii="仿宋_GB2312" w:hAnsi="仿宋_GB2312" w:eastAsia="仿宋_GB2312" w:cs="仿宋_GB2312"/>
                <w:color w:val="222222"/>
                <w:sz w:val="24"/>
                <w:shd w:val="clear" w:color="auto" w:fill="FFFFFF"/>
                <w14:ligatures w14:val="none"/>
              </w:rPr>
            </w:pPr>
            <w:r>
              <w:rPr>
                <w:rFonts w:hint="eastAsia" w:ascii="仿宋_GB2312" w:hAnsi="仿宋_GB2312" w:eastAsia="仿宋_GB2312" w:cs="仿宋_GB2312"/>
                <w:color w:val="222222"/>
                <w:sz w:val="24"/>
                <w:shd w:val="clear" w:color="auto" w:fill="FFFFFF"/>
                <w14:ligatures w14:val="none"/>
              </w:rPr>
              <w:t>重度</w:t>
            </w:r>
          </w:p>
        </w:tc>
        <w:tc>
          <w:tcPr>
            <w:tcW w:w="2765" w:type="dxa"/>
          </w:tcPr>
          <w:p w14:paraId="1A33B79B">
            <w:pPr>
              <w:spacing w:after="0" w:line="240" w:lineRule="auto"/>
              <w:rPr>
                <w:rFonts w:hint="eastAsia" w:ascii="仿宋_GB2312" w:hAnsi="仿宋_GB2312" w:eastAsia="仿宋_GB2312" w:cs="仿宋_GB2312"/>
                <w:color w:val="000000" w:themeColor="text1"/>
                <w:sz w:val="24"/>
                <w:shd w:val="clear" w:color="auto" w:fill="FFFFFF"/>
                <w14:textFill>
                  <w14:solidFill>
                    <w14:schemeClr w14:val="tx1"/>
                  </w14:solidFill>
                </w14:textFill>
                <w14:ligatures w14:val="none"/>
              </w:rPr>
            </w:pPr>
            <w:r>
              <w:rPr>
                <w:rFonts w:hint="eastAsia" w:ascii="仿宋_GB2312" w:hAnsi="仿宋_GB2312" w:eastAsia="仿宋_GB2312" w:cs="仿宋_GB2312"/>
                <w:color w:val="333333"/>
                <w:sz w:val="24"/>
                <w:shd w:val="clear" w:color="auto" w:fill="FFFFFF"/>
                <w14:ligatures w14:val="none"/>
              </w:rPr>
              <w:t>&gt;</w:t>
            </w:r>
            <w:r>
              <w:rPr>
                <w:rFonts w:hint="eastAsia" w:ascii="仿宋_GB2312" w:hAnsi="仿宋_GB2312" w:eastAsia="仿宋_GB2312" w:cs="仿宋_GB2312"/>
                <w:color w:val="000000" w:themeColor="text1"/>
                <w:sz w:val="24"/>
                <w:shd w:val="clear" w:color="auto" w:fill="FFFFFF"/>
                <w14:textFill>
                  <w14:solidFill>
                    <w14:schemeClr w14:val="tx1"/>
                  </w14:solidFill>
                </w14:textFill>
                <w14:ligatures w14:val="none"/>
              </w:rPr>
              <w:t>20或</w:t>
            </w:r>
            <w:r>
              <w:rPr>
                <w:rFonts w:hint="eastAsia" w:ascii="仿宋_GB2312" w:hAnsi="仿宋_GB2312" w:eastAsia="仿宋_GB2312" w:cs="仿宋_GB2312"/>
                <w:color w:val="333333"/>
                <w:sz w:val="24"/>
                <w:shd w:val="clear" w:color="auto" w:fill="FFFFFF"/>
                <w14:ligatures w14:val="none"/>
              </w:rPr>
              <w:t>&gt;10</w:t>
            </w:r>
          </w:p>
        </w:tc>
        <w:tc>
          <w:tcPr>
            <w:tcW w:w="2766" w:type="dxa"/>
          </w:tcPr>
          <w:p w14:paraId="4D178256">
            <w:pPr>
              <w:spacing w:after="0" w:line="360" w:lineRule="auto"/>
              <w:rPr>
                <w:rFonts w:hint="eastAsia" w:ascii="仿宋_GB2312" w:hAnsi="仿宋_GB2312" w:eastAsia="仿宋_GB2312" w:cs="仿宋_GB2312"/>
                <w:color w:val="222222"/>
                <w:sz w:val="24"/>
                <w:shd w:val="clear" w:color="auto" w:fill="FFFFFF"/>
                <w14:ligatures w14:val="none"/>
              </w:rPr>
            </w:pPr>
            <w:r>
              <w:rPr>
                <w:rFonts w:hint="eastAsia" w:ascii="仿宋_GB2312" w:hAnsi="仿宋_GB2312" w:eastAsia="仿宋_GB2312" w:cs="仿宋_GB2312"/>
                <w:color w:val="333333"/>
                <w:sz w:val="24"/>
                <w:shd w:val="clear" w:color="auto" w:fill="FFFFFF"/>
              </w:rPr>
              <w:t>&lt;0.75</w:t>
            </w:r>
          </w:p>
        </w:tc>
      </w:tr>
    </w:tbl>
    <w:p w14:paraId="14DD0B2C">
      <w:pPr>
        <w:spacing w:after="0" w:line="360" w:lineRule="auto"/>
        <w:rPr>
          <w:rFonts w:hint="eastAsia" w:ascii="仿宋_GB2312" w:hAnsi="仿宋_GB2312" w:eastAsia="仿宋_GB2312" w:cs="仿宋_GB2312"/>
          <w:color w:val="222222"/>
          <w:sz w:val="21"/>
          <w:szCs w:val="21"/>
          <w:shd w:val="clear" w:color="auto" w:fill="FFFFFF"/>
          <w14:ligatures w14:val="none"/>
        </w:rPr>
      </w:pPr>
      <w:r>
        <w:rPr>
          <w:rFonts w:hint="eastAsia" w:ascii="仿宋_GB2312" w:hAnsi="仿宋_GB2312" w:eastAsia="仿宋_GB2312" w:cs="仿宋_GB2312"/>
          <w:sz w:val="21"/>
          <w:szCs w:val="21"/>
        </w:rPr>
        <w:t>注：AHI为呼吸暂停低通气指数；OAI为阻塞性呼吸暂停指数；</w:t>
      </w:r>
      <w:r>
        <w:rPr>
          <w:rFonts w:hint="eastAsia" w:ascii="仿宋_GB2312" w:hAnsi="仿宋_GB2312" w:eastAsia="仿宋_GB2312" w:cs="仿宋_GB2312"/>
          <w:color w:val="222222"/>
          <w:sz w:val="21"/>
          <w:szCs w:val="21"/>
          <w:shd w:val="clear" w:color="auto" w:fill="FFFFFF"/>
          <w14:ligatures w14:val="none"/>
        </w:rPr>
        <w:t>LSaO</w:t>
      </w:r>
      <w:r>
        <w:rPr>
          <w:rFonts w:hint="eastAsia" w:ascii="仿宋_GB2312" w:hAnsi="仿宋_GB2312" w:eastAsia="仿宋_GB2312" w:cs="仿宋_GB2312"/>
          <w:color w:val="222222"/>
          <w:sz w:val="21"/>
          <w:szCs w:val="21"/>
          <w:shd w:val="clear" w:color="auto" w:fill="FFFFFF"/>
          <w:vertAlign w:val="subscript"/>
          <w14:ligatures w14:val="none"/>
        </w:rPr>
        <w:t>2</w:t>
      </w:r>
      <w:r>
        <w:rPr>
          <w:rFonts w:hint="eastAsia" w:ascii="仿宋_GB2312" w:hAnsi="仿宋_GB2312" w:eastAsia="仿宋_GB2312" w:cs="仿宋_GB2312"/>
          <w:color w:val="222222"/>
          <w:sz w:val="21"/>
          <w:szCs w:val="21"/>
          <w:shd w:val="clear" w:color="auto" w:fill="FFFFFF"/>
          <w14:ligatures w14:val="none"/>
        </w:rPr>
        <w:t>为最低血氧饱和度</w:t>
      </w:r>
    </w:p>
    <w:p w14:paraId="2DA37444">
      <w:pPr>
        <w:spacing w:after="0"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六、治疗：</w:t>
      </w:r>
      <w:r>
        <w:rPr>
          <w:rFonts w:hint="eastAsia" w:ascii="仿宋_GB2312" w:hAnsi="仿宋_GB2312" w:eastAsia="仿宋_GB2312" w:cs="仿宋_GB2312"/>
          <w:b/>
          <w:bCs/>
          <w:color w:val="404040"/>
          <w:sz w:val="32"/>
          <w:szCs w:val="32"/>
        </w:rPr>
        <w:t>需根据病因、严重程度及并发症制定个体化方案。</w:t>
      </w:r>
    </w:p>
    <w:p w14:paraId="4A07ACDE">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（一）治疗原则：</w:t>
      </w:r>
    </w:p>
    <w:p w14:paraId="65346D70">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一般治疗</w:t>
      </w:r>
    </w:p>
    <w:p w14:paraId="275760FE">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（1）改善生活习惯：保持良好的作息时间，过敏性鼻炎患儿避免接触过敏原。</w:t>
      </w:r>
    </w:p>
    <w:p w14:paraId="5E30BB0D">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（2）减肥：对于肥胖儿童，应制定合理的减肥计划。</w:t>
      </w:r>
    </w:p>
    <w:p w14:paraId="0E84C634">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（3）保持呼吸道通畅：避免感冒、鼻炎等疾病，减少过敏原接触。</w:t>
      </w:r>
    </w:p>
    <w:p w14:paraId="0A1FDB81">
      <w:pPr>
        <w:rPr>
          <w:rFonts w:hint="eastAsia" w:ascii="仿宋_GB2312" w:hAnsi="仿宋_GB2312" w:eastAsia="仿宋_GB2312" w:cs="仿宋_GB2312"/>
          <w:color w:val="404040"/>
          <w:sz w:val="32"/>
          <w:szCs w:val="32"/>
        </w:rPr>
      </w:pPr>
      <w:r>
        <w:rPr>
          <w:rFonts w:hint="eastAsia" w:ascii="仿宋_GB2312" w:hAnsi="仿宋_GB2312" w:eastAsia="仿宋_GB2312" w:cs="仿宋_GB2312"/>
          <w:color w:val="404040"/>
          <w:sz w:val="32"/>
          <w:szCs w:val="32"/>
        </w:rPr>
        <w:t>（4）体位疗法：侧卧位睡眠可减少气道塌陷。</w:t>
      </w:r>
    </w:p>
    <w:p w14:paraId="06374AAD">
      <w:pPr>
        <w:rPr>
          <w:rFonts w:hint="eastAsia" w:ascii="仿宋_GB2312" w:hAnsi="仿宋_GB2312" w:eastAsia="仿宋_GB2312" w:cs="仿宋_GB2312"/>
          <w:sz w:val="32"/>
          <w:szCs w:val="32"/>
        </w:rPr>
      </w:pPr>
      <w:r>
        <w:rPr>
          <w:rFonts w:hint="eastAsia" w:ascii="仿宋_GB2312" w:hAnsi="仿宋_GB2312" w:eastAsia="仿宋_GB2312" w:cs="仿宋_GB2312"/>
          <w:color w:val="404040"/>
          <w:sz w:val="32"/>
          <w:szCs w:val="32"/>
        </w:rPr>
        <w:t>（5）持续气道正压通气（CPAP）：适用于手术禁忌或术后症状未完全缓解的患儿。</w:t>
      </w:r>
    </w:p>
    <w:p w14:paraId="16B4829F">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药物治疗</w:t>
      </w:r>
    </w:p>
    <w:p w14:paraId="2603DD6A">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（1）抗炎药物：如抗生素、激素</w:t>
      </w:r>
      <w:r>
        <w:rPr>
          <w:rFonts w:hint="eastAsia" w:ascii="仿宋_GB2312" w:hAnsi="仿宋_GB2312" w:eastAsia="仿宋_GB2312" w:cs="仿宋_GB2312"/>
          <w:color w:val="404040"/>
          <w:sz w:val="32"/>
          <w:szCs w:val="32"/>
        </w:rPr>
        <w:t>（如糠酸莫米松）可减轻腺样体肥大，改善鼻腔通气，疗程≥6周</w:t>
      </w:r>
      <w:r>
        <w:rPr>
          <w:rFonts w:hint="eastAsia" w:ascii="仿宋_GB2312" w:hAnsi="仿宋_GB2312" w:eastAsia="仿宋_GB2312" w:cs="仿宋_GB2312"/>
          <w:sz w:val="32"/>
          <w:szCs w:val="32"/>
        </w:rPr>
        <w:t>等。</w:t>
      </w:r>
    </w:p>
    <w:p w14:paraId="7D51E234">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（2）抗过敏药物：如抗组胺药、白三烯受体拮抗剂</w:t>
      </w:r>
      <w:r>
        <w:rPr>
          <w:rFonts w:hint="eastAsia" w:ascii="仿宋_GB2312" w:hAnsi="仿宋_GB2312" w:eastAsia="仿宋_GB2312" w:cs="仿宋_GB2312"/>
          <w:color w:val="404040"/>
          <w:sz w:val="32"/>
          <w:szCs w:val="32"/>
        </w:rPr>
        <w:t>（如孟鲁司特钠）对合并过敏性鼻炎的患儿效果显著</w:t>
      </w:r>
      <w:r>
        <w:rPr>
          <w:rFonts w:hint="eastAsia" w:ascii="仿宋_GB2312" w:hAnsi="仿宋_GB2312" w:eastAsia="仿宋_GB2312" w:cs="仿宋_GB2312"/>
          <w:sz w:val="32"/>
          <w:szCs w:val="32"/>
        </w:rPr>
        <w:t>。</w:t>
      </w:r>
    </w:p>
    <w:p w14:paraId="495FD5A8">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手术治疗</w:t>
      </w:r>
    </w:p>
    <w:p w14:paraId="5AAF6037">
      <w:pPr>
        <w:pStyle w:val="15"/>
        <w:snapToGrid w:val="0"/>
        <w:spacing w:line="360" w:lineRule="auto"/>
        <w:contextualSpacing/>
        <w:rPr>
          <w:rFonts w:hint="eastAsia" w:ascii="仿宋_GB2312" w:hAnsi="仿宋_GB2312" w:eastAsia="仿宋_GB2312" w:cs="仿宋_GB2312"/>
          <w:color w:val="404040"/>
          <w:sz w:val="32"/>
          <w:szCs w:val="32"/>
        </w:rPr>
      </w:pPr>
      <w:r>
        <w:rPr>
          <w:rFonts w:hint="eastAsia" w:ascii="仿宋_GB2312" w:hAnsi="仿宋_GB2312" w:eastAsia="仿宋_GB2312" w:cs="仿宋_GB2312"/>
          <w:b/>
          <w:bCs/>
          <w:color w:val="404040"/>
          <w:sz w:val="32"/>
          <w:szCs w:val="32"/>
        </w:rPr>
        <w:t>外科治疗</w:t>
      </w:r>
      <w:r>
        <w:rPr>
          <w:rFonts w:hint="eastAsia" w:ascii="仿宋_GB2312" w:hAnsi="仿宋_GB2312" w:eastAsia="仿宋_GB2312" w:cs="仿宋_GB2312"/>
          <w:color w:val="404040"/>
          <w:sz w:val="32"/>
          <w:szCs w:val="32"/>
        </w:rPr>
        <w:t>是儿童OSA的主要治疗手段，尤其是腺样体和扁桃体肥大导致的病例。</w:t>
      </w:r>
    </w:p>
    <w:p w14:paraId="150AF9EC">
      <w:pPr>
        <w:pStyle w:val="15"/>
        <w:snapToGrid w:val="0"/>
        <w:spacing w:before="0" w:beforeAutospacing="0" w:after="0" w:afterAutospacing="0" w:line="360" w:lineRule="auto"/>
        <w:contextualSpacing/>
        <w:rPr>
          <w:rFonts w:hint="eastAsia" w:ascii="仿宋_GB2312" w:hAnsi="仿宋_GB2312" w:eastAsia="仿宋_GB2312" w:cs="仿宋_GB2312"/>
          <w:color w:val="404040"/>
          <w:sz w:val="32"/>
          <w:szCs w:val="32"/>
        </w:rPr>
      </w:pPr>
      <w:r>
        <w:rPr>
          <w:rStyle w:val="20"/>
          <w:rFonts w:hint="eastAsia" w:ascii="仿宋_GB2312" w:hAnsi="仿宋_GB2312" w:eastAsia="仿宋_GB2312" w:cs="仿宋_GB2312"/>
          <w:color w:val="404040"/>
          <w:sz w:val="32"/>
          <w:szCs w:val="32"/>
        </w:rPr>
        <w:t>腺样体切除术（Adenoidectomy）和扁桃体切除术（Tonsillectomy，AT）</w:t>
      </w:r>
      <w:r>
        <w:rPr>
          <w:rFonts w:hint="eastAsia" w:ascii="仿宋_GB2312" w:hAnsi="仿宋_GB2312" w:eastAsia="仿宋_GB2312" w:cs="仿宋_GB2312"/>
          <w:color w:val="404040"/>
          <w:sz w:val="32"/>
          <w:szCs w:val="32"/>
        </w:rPr>
        <w:t>：</w:t>
      </w:r>
      <w:r>
        <w:rPr>
          <w:rFonts w:hint="eastAsia" w:ascii="仿宋_GB2312" w:hAnsi="仿宋_GB2312" w:eastAsia="仿宋_GB2312" w:cs="仿宋_GB2312"/>
          <w:color w:val="404040"/>
          <w:sz w:val="32"/>
          <w:szCs w:val="32"/>
        </w:rPr>
        <w:br w:type="textWrapping"/>
      </w:r>
      <w:r>
        <w:rPr>
          <w:rFonts w:hint="eastAsia" w:ascii="仿宋_GB2312" w:hAnsi="仿宋_GB2312" w:eastAsia="仿宋_GB2312" w:cs="仿宋_GB2312"/>
          <w:color w:val="404040"/>
          <w:sz w:val="32"/>
          <w:szCs w:val="32"/>
        </w:rPr>
        <w:t>这是最常用的手术方式，有效率可达80%以上。对于单纯腺样体肥大患儿，腺样体切除术即可显著改善症状；对于合并扁桃体肥大的患儿，需同时行扁桃体切除术。</w:t>
      </w:r>
    </w:p>
    <w:p w14:paraId="61228157">
      <w:pPr>
        <w:pStyle w:val="15"/>
        <w:snapToGrid w:val="0"/>
        <w:spacing w:before="0" w:beforeAutospacing="0" w:after="0" w:afterAutospacing="0" w:line="360" w:lineRule="auto"/>
        <w:contextualSpacing/>
        <w:rPr>
          <w:rFonts w:hint="eastAsia" w:ascii="仿宋_GB2312" w:hAnsi="仿宋_GB2312" w:eastAsia="仿宋_GB2312" w:cs="仿宋_GB2312"/>
          <w:color w:val="404040"/>
          <w:sz w:val="32"/>
          <w:szCs w:val="32"/>
        </w:rPr>
      </w:pPr>
      <w:r>
        <w:rPr>
          <w:rStyle w:val="20"/>
          <w:rFonts w:hint="eastAsia" w:ascii="仿宋_GB2312" w:hAnsi="仿宋_GB2312" w:eastAsia="仿宋_GB2312" w:cs="仿宋_GB2312"/>
          <w:color w:val="404040"/>
          <w:sz w:val="32"/>
          <w:szCs w:val="32"/>
        </w:rPr>
        <w:t>手术指征</w:t>
      </w:r>
      <w:r>
        <w:rPr>
          <w:rFonts w:hint="eastAsia" w:ascii="仿宋_GB2312" w:hAnsi="仿宋_GB2312" w:eastAsia="仿宋_GB2312" w:cs="仿宋_GB2312"/>
          <w:color w:val="404040"/>
          <w:sz w:val="32"/>
          <w:szCs w:val="32"/>
        </w:rPr>
        <w:t>：</w:t>
      </w:r>
      <w:r>
        <w:rPr>
          <w:rFonts w:hint="eastAsia" w:ascii="仿宋_GB2312" w:hAnsi="仿宋_GB2312" w:eastAsia="仿宋_GB2312" w:cs="仿宋_GB2312"/>
          <w:color w:val="404040"/>
          <w:sz w:val="32"/>
          <w:szCs w:val="32"/>
        </w:rPr>
        <w:br w:type="textWrapping"/>
      </w:r>
      <w:r>
        <w:rPr>
          <w:rFonts w:hint="eastAsia" w:ascii="仿宋_GB2312" w:hAnsi="仿宋_GB2312" w:eastAsia="仿宋_GB2312" w:cs="仿宋_GB2312"/>
          <w:color w:val="404040"/>
          <w:sz w:val="32"/>
          <w:szCs w:val="32"/>
        </w:rPr>
        <w:t>根据《中国儿童OSA诊疗指南（2022版）》，手术指征包括：</w:t>
      </w:r>
      <w:r>
        <w:rPr>
          <w:rFonts w:hint="eastAsia" w:ascii="仿宋_GB2312" w:hAnsi="仿宋_GB2312" w:eastAsia="仿宋_GB2312" w:cs="仿宋_GB2312"/>
          <w:color w:val="404040"/>
          <w:sz w:val="32"/>
          <w:szCs w:val="32"/>
        </w:rPr>
        <w:br w:type="textWrapping"/>
      </w:r>
      <w:r>
        <w:rPr>
          <w:rFonts w:hint="eastAsia" w:ascii="仿宋_GB2312" w:hAnsi="仿宋_GB2312" w:eastAsia="仿宋_GB2312" w:cs="仿宋_GB2312"/>
          <w:color w:val="404040"/>
          <w:sz w:val="32"/>
          <w:szCs w:val="32"/>
        </w:rPr>
        <w:t>（1）腺样体和/或扁桃体肥大导致中重度OSA（AHI≥5次/小时）；</w:t>
      </w:r>
      <w:r>
        <w:rPr>
          <w:rFonts w:hint="eastAsia" w:ascii="仿宋_GB2312" w:hAnsi="仿宋_GB2312" w:eastAsia="仿宋_GB2312" w:cs="仿宋_GB2312"/>
          <w:color w:val="404040"/>
          <w:sz w:val="32"/>
          <w:szCs w:val="32"/>
        </w:rPr>
        <w:br w:type="textWrapping"/>
      </w:r>
      <w:r>
        <w:rPr>
          <w:rFonts w:hint="eastAsia" w:ascii="仿宋_GB2312" w:hAnsi="仿宋_GB2312" w:eastAsia="仿宋_GB2312" w:cs="仿宋_GB2312"/>
          <w:color w:val="404040"/>
          <w:sz w:val="32"/>
          <w:szCs w:val="32"/>
        </w:rPr>
        <w:t>（2）反复发作的扁桃体炎（≥3次/年）；</w:t>
      </w:r>
      <w:r>
        <w:rPr>
          <w:rFonts w:hint="eastAsia" w:ascii="仿宋_GB2312" w:hAnsi="仿宋_GB2312" w:eastAsia="仿宋_GB2312" w:cs="仿宋_GB2312"/>
          <w:color w:val="404040"/>
          <w:sz w:val="32"/>
          <w:szCs w:val="32"/>
        </w:rPr>
        <w:br w:type="textWrapping"/>
      </w:r>
      <w:r>
        <w:rPr>
          <w:rFonts w:hint="eastAsia" w:ascii="仿宋_GB2312" w:hAnsi="仿宋_GB2312" w:eastAsia="仿宋_GB2312" w:cs="仿宋_GB2312"/>
          <w:color w:val="404040"/>
          <w:sz w:val="32"/>
          <w:szCs w:val="32"/>
        </w:rPr>
        <w:t>（3）保守治疗3个月无效。</w:t>
      </w:r>
    </w:p>
    <w:p w14:paraId="538F049F">
      <w:pPr>
        <w:pStyle w:val="15"/>
        <w:snapToGrid w:val="0"/>
        <w:spacing w:before="0" w:beforeAutospacing="0" w:after="0" w:afterAutospacing="0" w:line="360" w:lineRule="auto"/>
        <w:contextualSpacing/>
        <w:rPr>
          <w:rFonts w:hint="eastAsia" w:ascii="仿宋_GB2312" w:hAnsi="仿宋_GB2312" w:eastAsia="仿宋_GB2312" w:cs="仿宋_GB2312"/>
          <w:color w:val="404040"/>
          <w:sz w:val="32"/>
          <w:szCs w:val="32"/>
        </w:rPr>
      </w:pPr>
      <w:r>
        <w:rPr>
          <w:rStyle w:val="20"/>
          <w:rFonts w:hint="eastAsia" w:ascii="仿宋_GB2312" w:hAnsi="仿宋_GB2312" w:eastAsia="仿宋_GB2312" w:cs="仿宋_GB2312"/>
          <w:color w:val="404040"/>
          <w:sz w:val="32"/>
          <w:szCs w:val="32"/>
        </w:rPr>
        <w:t>手术并发症及注意事项</w:t>
      </w:r>
      <w:r>
        <w:rPr>
          <w:rFonts w:hint="eastAsia" w:ascii="仿宋_GB2312" w:hAnsi="仿宋_GB2312" w:eastAsia="仿宋_GB2312" w:cs="仿宋_GB2312"/>
          <w:color w:val="404040"/>
          <w:sz w:val="32"/>
          <w:szCs w:val="32"/>
        </w:rPr>
        <w:t>：</w:t>
      </w:r>
      <w:r>
        <w:rPr>
          <w:rFonts w:hint="eastAsia" w:ascii="仿宋_GB2312" w:hAnsi="仿宋_GB2312" w:eastAsia="仿宋_GB2312" w:cs="仿宋_GB2312"/>
          <w:color w:val="404040"/>
          <w:sz w:val="32"/>
          <w:szCs w:val="32"/>
        </w:rPr>
        <w:br w:type="textWrapping"/>
      </w:r>
      <w:r>
        <w:rPr>
          <w:rFonts w:hint="eastAsia" w:ascii="仿宋_GB2312" w:hAnsi="仿宋_GB2312" w:eastAsia="仿宋_GB2312" w:cs="仿宋_GB2312"/>
          <w:color w:val="404040"/>
          <w:sz w:val="32"/>
          <w:szCs w:val="32"/>
        </w:rPr>
        <w:t>术后可能出现出血、疼痛、感染等并发症，需密切观察。肥胖患儿术后复发率较高，需结合其他治疗手段。</w:t>
      </w:r>
    </w:p>
    <w:p w14:paraId="79B4A430">
      <w:pPr>
        <w:pStyle w:val="15"/>
        <w:snapToGrid w:val="0"/>
        <w:spacing w:before="0" w:beforeAutospacing="0" w:after="0" w:afterAutospacing="0" w:line="360" w:lineRule="auto"/>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中西医结合治疗</w:t>
      </w:r>
    </w:p>
    <w:p w14:paraId="538A343A">
      <w:pPr>
        <w:pStyle w:val="15"/>
        <w:snapToGrid w:val="0"/>
        <w:spacing w:before="0" w:beforeAutospacing="0" w:after="0" w:afterAutospacing="0" w:line="360" w:lineRule="auto"/>
        <w:contextualSpacing/>
        <w:rPr>
          <w:rFonts w:hint="eastAsia" w:ascii="仿宋_GB2312" w:hAnsi="仿宋_GB2312" w:eastAsia="仿宋_GB2312" w:cs="仿宋_GB2312"/>
          <w:color w:val="404040"/>
          <w:sz w:val="32"/>
          <w:szCs w:val="32"/>
        </w:rPr>
      </w:pPr>
      <w:r>
        <w:rPr>
          <w:rFonts w:hint="eastAsia" w:ascii="仿宋_GB2312" w:hAnsi="仿宋_GB2312" w:eastAsia="仿宋_GB2312" w:cs="仿宋_GB2312"/>
          <w:color w:val="404040"/>
          <w:sz w:val="32"/>
          <w:szCs w:val="32"/>
        </w:rPr>
        <w:t>中西医结合治疗在儿童鼾症中具有一定优势，尤其在改善症状和减少复发面。</w:t>
      </w:r>
    </w:p>
    <w:p w14:paraId="78027D4B">
      <w:pPr>
        <w:widowControl/>
        <w:adjustRightInd w:val="0"/>
        <w:snapToGrid w:val="0"/>
        <w:spacing w:after="0" w:line="360" w:lineRule="auto"/>
        <w:contextualSpacing/>
        <w:rPr>
          <w:rFonts w:hint="eastAsia" w:ascii="仿宋_GB2312" w:hAnsi="仿宋_GB2312" w:eastAsia="仿宋_GB2312" w:cs="仿宋_GB2312"/>
          <w:color w:val="404040"/>
          <w:kern w:val="0"/>
          <w:sz w:val="32"/>
          <w:szCs w:val="32"/>
          <w14:ligatures w14:val="none"/>
        </w:rPr>
      </w:pPr>
      <w:r>
        <w:rPr>
          <w:rFonts w:hint="eastAsia" w:ascii="仿宋_GB2312" w:hAnsi="仿宋_GB2312" w:eastAsia="仿宋_GB2312" w:cs="仿宋_GB2312"/>
          <w:b/>
          <w:bCs/>
          <w:color w:val="404040"/>
          <w:kern w:val="0"/>
          <w:sz w:val="32"/>
          <w:szCs w:val="32"/>
          <w14:ligatures w14:val="none"/>
        </w:rPr>
        <w:t>中药治疗</w:t>
      </w:r>
      <w:r>
        <w:rPr>
          <w:rFonts w:hint="eastAsia" w:ascii="仿宋_GB2312" w:hAnsi="仿宋_GB2312" w:eastAsia="仿宋_GB2312" w:cs="仿宋_GB2312"/>
          <w:color w:val="404040"/>
          <w:kern w:val="0"/>
          <w:sz w:val="32"/>
          <w:szCs w:val="32"/>
          <w14:ligatures w14:val="none"/>
        </w:rPr>
        <w:t>：</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根据中医理论，儿童鼾症多与肺脾气虚、痰湿内蕴有关，常用方剂如六君子汤、玉屏风散等，可改善患儿体质，减少呼吸道感染。</w:t>
      </w:r>
    </w:p>
    <w:p w14:paraId="128D997D">
      <w:pPr>
        <w:widowControl/>
        <w:adjustRightInd w:val="0"/>
        <w:snapToGrid w:val="0"/>
        <w:spacing w:after="0" w:line="360" w:lineRule="auto"/>
        <w:contextualSpacing/>
        <w:rPr>
          <w:rFonts w:hint="eastAsia" w:ascii="仿宋_GB2312" w:hAnsi="仿宋_GB2312" w:eastAsia="仿宋_GB2312" w:cs="仿宋_GB2312"/>
          <w:color w:val="404040"/>
          <w:kern w:val="0"/>
          <w:sz w:val="32"/>
          <w:szCs w:val="32"/>
          <w14:ligatures w14:val="none"/>
        </w:rPr>
      </w:pPr>
      <w:r>
        <w:rPr>
          <w:rFonts w:hint="eastAsia" w:ascii="仿宋_GB2312" w:hAnsi="仿宋_GB2312" w:eastAsia="仿宋_GB2312" w:cs="仿宋_GB2312"/>
          <w:b/>
          <w:bCs/>
          <w:color w:val="404040"/>
          <w:kern w:val="0"/>
          <w:sz w:val="32"/>
          <w:szCs w:val="32"/>
          <w14:ligatures w14:val="none"/>
        </w:rPr>
        <w:t>外治法</w:t>
      </w:r>
      <w:r>
        <w:rPr>
          <w:rFonts w:hint="eastAsia" w:ascii="仿宋_GB2312" w:hAnsi="仿宋_GB2312" w:eastAsia="仿宋_GB2312" w:cs="仿宋_GB2312"/>
          <w:color w:val="404040"/>
          <w:kern w:val="0"/>
          <w:sz w:val="32"/>
          <w:szCs w:val="32"/>
          <w14:ligatures w14:val="none"/>
        </w:rPr>
        <w:t>：</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如穴位贴敷（天突、膻中等穴位）、推拿按摩等，可辅助改善症状。</w:t>
      </w:r>
    </w:p>
    <w:p w14:paraId="6FCD0DAB">
      <w:pPr>
        <w:widowControl/>
        <w:adjustRightInd w:val="0"/>
        <w:snapToGrid w:val="0"/>
        <w:spacing w:after="0" w:line="360" w:lineRule="auto"/>
        <w:contextualSpacing/>
        <w:rPr>
          <w:rFonts w:hint="eastAsia" w:ascii="仿宋_GB2312" w:hAnsi="仿宋_GB2312" w:eastAsia="仿宋_GB2312" w:cs="仿宋_GB2312"/>
          <w:color w:val="404040"/>
          <w:kern w:val="0"/>
          <w:sz w:val="32"/>
          <w:szCs w:val="32"/>
          <w14:ligatures w14:val="none"/>
        </w:rPr>
      </w:pPr>
      <w:r>
        <w:rPr>
          <w:rFonts w:hint="eastAsia" w:ascii="仿宋_GB2312" w:hAnsi="仿宋_GB2312" w:eastAsia="仿宋_GB2312" w:cs="仿宋_GB2312"/>
          <w:b/>
          <w:bCs/>
          <w:color w:val="404040"/>
          <w:kern w:val="0"/>
          <w:sz w:val="32"/>
          <w:szCs w:val="32"/>
          <w14:ligatures w14:val="none"/>
        </w:rPr>
        <w:t>研究进展</w:t>
      </w:r>
      <w:r>
        <w:rPr>
          <w:rFonts w:hint="eastAsia" w:ascii="仿宋_GB2312" w:hAnsi="仿宋_GB2312" w:eastAsia="仿宋_GB2312" w:cs="仿宋_GB2312"/>
          <w:color w:val="404040"/>
          <w:kern w:val="0"/>
          <w:sz w:val="32"/>
          <w:szCs w:val="32"/>
          <w14:ligatures w14:val="none"/>
        </w:rPr>
        <w:t>：</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多项研究表明，中西医结合治疗可显著提高有效率，减少术后复发率。</w:t>
      </w:r>
    </w:p>
    <w:p w14:paraId="2841993F">
      <w:pPr>
        <w:snapToGrid w:val="0"/>
        <w:spacing w:after="0" w:line="360" w:lineRule="auto"/>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5.合并症的治疗</w:t>
      </w:r>
    </w:p>
    <w:p w14:paraId="3E14616F">
      <w:pPr>
        <w:snapToGrid w:val="0"/>
        <w:spacing w:after="0" w:line="360" w:lineRule="auto"/>
        <w:contextualSpacing/>
        <w:rPr>
          <w:rFonts w:hint="eastAsia" w:ascii="仿宋_GB2312" w:hAnsi="仿宋_GB2312" w:eastAsia="仿宋_GB2312" w:cs="仿宋_GB2312"/>
          <w:sz w:val="32"/>
          <w:szCs w:val="32"/>
        </w:rPr>
      </w:pPr>
      <w:r>
        <w:rPr>
          <w:rFonts w:hint="eastAsia" w:ascii="仿宋_GB2312" w:hAnsi="仿宋_GB2312" w:eastAsia="仿宋_GB2312" w:cs="仿宋_GB2312"/>
          <w:color w:val="404040"/>
          <w:sz w:val="32"/>
          <w:szCs w:val="32"/>
        </w:rPr>
        <w:t>儿童鼾症常合并多种并发症，需综合治疗。</w:t>
      </w:r>
    </w:p>
    <w:p w14:paraId="2EEAAB27">
      <w:pPr>
        <w:pStyle w:val="15"/>
        <w:snapToGrid w:val="0"/>
        <w:spacing w:before="0" w:beforeAutospacing="0" w:after="0" w:afterAutospacing="0" w:line="360" w:lineRule="auto"/>
        <w:contextualSpacing/>
        <w:rPr>
          <w:rFonts w:hint="eastAsia" w:ascii="仿宋_GB2312" w:hAnsi="仿宋_GB2312" w:eastAsia="仿宋_GB2312" w:cs="仿宋_GB2312"/>
          <w:color w:val="404040"/>
          <w:sz w:val="32"/>
          <w:szCs w:val="32"/>
        </w:rPr>
      </w:pPr>
      <w:r>
        <w:rPr>
          <w:rStyle w:val="20"/>
          <w:rFonts w:hint="eastAsia" w:ascii="仿宋_GB2312" w:hAnsi="仿宋_GB2312" w:eastAsia="仿宋_GB2312" w:cs="仿宋_GB2312"/>
          <w:color w:val="404040"/>
          <w:sz w:val="32"/>
          <w:szCs w:val="32"/>
        </w:rPr>
        <w:t>颌面畸形</w:t>
      </w:r>
      <w:r>
        <w:rPr>
          <w:rFonts w:hint="eastAsia" w:ascii="仿宋_GB2312" w:hAnsi="仿宋_GB2312" w:eastAsia="仿宋_GB2312" w:cs="仿宋_GB2312"/>
          <w:color w:val="404040"/>
          <w:sz w:val="32"/>
          <w:szCs w:val="32"/>
        </w:rPr>
        <w:t>：</w:t>
      </w:r>
      <w:r>
        <w:rPr>
          <w:rFonts w:hint="eastAsia" w:ascii="仿宋_GB2312" w:hAnsi="仿宋_GB2312" w:eastAsia="仿宋_GB2312" w:cs="仿宋_GB2312"/>
          <w:color w:val="404040"/>
          <w:sz w:val="32"/>
          <w:szCs w:val="32"/>
        </w:rPr>
        <w:br w:type="textWrapping"/>
      </w:r>
      <w:r>
        <w:rPr>
          <w:rFonts w:hint="eastAsia" w:ascii="仿宋_GB2312" w:hAnsi="仿宋_GB2312" w:eastAsia="仿宋_GB2312" w:cs="仿宋_GB2312"/>
          <w:color w:val="404040"/>
          <w:sz w:val="32"/>
          <w:szCs w:val="32"/>
        </w:rPr>
        <w:t>长期张口呼吸可导致腺样体面容，正畸治疗（如扩弓矫治器）可改善上颌骨发育，需早期干预。</w:t>
      </w:r>
    </w:p>
    <w:p w14:paraId="7BB4CA1C">
      <w:pPr>
        <w:pStyle w:val="15"/>
        <w:snapToGrid w:val="0"/>
        <w:spacing w:before="0" w:beforeAutospacing="0" w:after="0" w:afterAutospacing="0" w:line="360" w:lineRule="auto"/>
        <w:contextualSpacing/>
        <w:rPr>
          <w:rFonts w:hint="eastAsia" w:ascii="仿宋_GB2312" w:hAnsi="仿宋_GB2312" w:eastAsia="仿宋_GB2312" w:cs="仿宋_GB2312"/>
          <w:color w:val="404040"/>
          <w:sz w:val="32"/>
          <w:szCs w:val="32"/>
        </w:rPr>
      </w:pPr>
      <w:r>
        <w:rPr>
          <w:rStyle w:val="20"/>
          <w:rFonts w:hint="eastAsia" w:ascii="仿宋_GB2312" w:hAnsi="仿宋_GB2312" w:eastAsia="仿宋_GB2312" w:cs="仿宋_GB2312"/>
          <w:color w:val="404040"/>
          <w:sz w:val="32"/>
          <w:szCs w:val="32"/>
        </w:rPr>
        <w:t>胸廓畸形</w:t>
      </w:r>
      <w:r>
        <w:rPr>
          <w:rFonts w:hint="eastAsia" w:ascii="仿宋_GB2312" w:hAnsi="仿宋_GB2312" w:eastAsia="仿宋_GB2312" w:cs="仿宋_GB2312"/>
          <w:color w:val="404040"/>
          <w:sz w:val="32"/>
          <w:szCs w:val="32"/>
        </w:rPr>
        <w:t>：</w:t>
      </w:r>
      <w:r>
        <w:rPr>
          <w:rFonts w:hint="eastAsia" w:ascii="仿宋_GB2312" w:hAnsi="仿宋_GB2312" w:eastAsia="仿宋_GB2312" w:cs="仿宋_GB2312"/>
          <w:color w:val="404040"/>
          <w:sz w:val="32"/>
          <w:szCs w:val="32"/>
        </w:rPr>
        <w:br w:type="textWrapping"/>
      </w:r>
      <w:r>
        <w:rPr>
          <w:rFonts w:hint="eastAsia" w:ascii="仿宋_GB2312" w:hAnsi="仿宋_GB2312" w:eastAsia="仿宋_GB2312" w:cs="仿宋_GB2312"/>
          <w:color w:val="404040"/>
          <w:sz w:val="32"/>
          <w:szCs w:val="32"/>
        </w:rPr>
        <w:t>严重OSA可导致胸廓畸形，需通过手术或呼吸训练纠正。</w:t>
      </w:r>
    </w:p>
    <w:p w14:paraId="61BA974B">
      <w:pPr>
        <w:pStyle w:val="15"/>
        <w:snapToGrid w:val="0"/>
        <w:spacing w:before="0" w:beforeAutospacing="0" w:after="0" w:afterAutospacing="0" w:line="360" w:lineRule="auto"/>
        <w:contextualSpacing/>
        <w:rPr>
          <w:rFonts w:hint="eastAsia" w:ascii="仿宋_GB2312" w:hAnsi="仿宋_GB2312" w:eastAsia="仿宋_GB2312" w:cs="仿宋_GB2312"/>
          <w:color w:val="404040"/>
          <w:sz w:val="32"/>
          <w:szCs w:val="32"/>
        </w:rPr>
      </w:pPr>
      <w:r>
        <w:rPr>
          <w:rStyle w:val="20"/>
          <w:rFonts w:hint="eastAsia" w:ascii="仿宋_GB2312" w:hAnsi="仿宋_GB2312" w:eastAsia="仿宋_GB2312" w:cs="仿宋_GB2312"/>
          <w:color w:val="404040"/>
          <w:sz w:val="32"/>
          <w:szCs w:val="32"/>
        </w:rPr>
        <w:t>鼻窦炎和变应性鼻炎</w:t>
      </w:r>
      <w:r>
        <w:rPr>
          <w:rFonts w:hint="eastAsia" w:ascii="仿宋_GB2312" w:hAnsi="仿宋_GB2312" w:eastAsia="仿宋_GB2312" w:cs="仿宋_GB2312"/>
          <w:color w:val="404040"/>
          <w:sz w:val="32"/>
          <w:szCs w:val="32"/>
        </w:rPr>
        <w:t>：</w:t>
      </w:r>
      <w:r>
        <w:rPr>
          <w:rFonts w:hint="eastAsia" w:ascii="仿宋_GB2312" w:hAnsi="仿宋_GB2312" w:eastAsia="仿宋_GB2312" w:cs="仿宋_GB2312"/>
          <w:color w:val="404040"/>
          <w:sz w:val="32"/>
          <w:szCs w:val="32"/>
        </w:rPr>
        <w:br w:type="textWrapping"/>
      </w:r>
      <w:r>
        <w:rPr>
          <w:rFonts w:hint="eastAsia" w:ascii="仿宋_GB2312" w:hAnsi="仿宋_GB2312" w:eastAsia="仿宋_GB2312" w:cs="仿宋_GB2312"/>
          <w:color w:val="404040"/>
          <w:sz w:val="32"/>
          <w:szCs w:val="32"/>
        </w:rPr>
        <w:t>鼻用激素联合抗组胺药是主要治疗手段，必要时可行鼻窦冲洗。</w:t>
      </w:r>
    </w:p>
    <w:p w14:paraId="13B61AF1">
      <w:pPr>
        <w:snapToGrid w:val="0"/>
        <w:spacing w:after="0" w:line="360" w:lineRule="auto"/>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6.术后症状改善不佳或者复发的治疗</w:t>
      </w:r>
    </w:p>
    <w:p w14:paraId="26DB329D">
      <w:pPr>
        <w:snapToGrid w:val="0"/>
        <w:spacing w:after="0" w:line="360" w:lineRule="auto"/>
        <w:contextualSpacing/>
        <w:rPr>
          <w:rFonts w:hint="eastAsia" w:ascii="仿宋_GB2312" w:hAnsi="仿宋_GB2312" w:eastAsia="仿宋_GB2312" w:cs="仿宋_GB2312"/>
          <w:sz w:val="32"/>
          <w:szCs w:val="32"/>
        </w:rPr>
      </w:pPr>
      <w:r>
        <w:rPr>
          <w:rFonts w:hint="eastAsia" w:ascii="仿宋_GB2312" w:hAnsi="仿宋_GB2312" w:eastAsia="仿宋_GB2312" w:cs="仿宋_GB2312"/>
          <w:color w:val="404040"/>
          <w:sz w:val="32"/>
          <w:szCs w:val="32"/>
        </w:rPr>
        <w:t>部分患儿术后症状改善不佳或复发，需采取以下措施：</w:t>
      </w:r>
    </w:p>
    <w:p w14:paraId="4231864E">
      <w:pPr>
        <w:pStyle w:val="15"/>
        <w:snapToGrid w:val="0"/>
        <w:spacing w:before="0" w:beforeAutospacing="0" w:after="0" w:afterAutospacing="0" w:line="360" w:lineRule="auto"/>
        <w:contextualSpacing/>
        <w:rPr>
          <w:rFonts w:hint="eastAsia" w:ascii="仿宋_GB2312" w:hAnsi="仿宋_GB2312" w:eastAsia="仿宋_GB2312" w:cs="仿宋_GB2312"/>
          <w:color w:val="404040"/>
          <w:sz w:val="32"/>
          <w:szCs w:val="32"/>
        </w:rPr>
      </w:pPr>
      <w:r>
        <w:rPr>
          <w:rStyle w:val="20"/>
          <w:rFonts w:hint="eastAsia" w:ascii="仿宋_GB2312" w:hAnsi="仿宋_GB2312" w:eastAsia="仿宋_GB2312" w:cs="仿宋_GB2312"/>
          <w:color w:val="404040"/>
          <w:sz w:val="32"/>
          <w:szCs w:val="32"/>
        </w:rPr>
        <w:t>病因分析</w:t>
      </w:r>
      <w:r>
        <w:rPr>
          <w:rFonts w:hint="eastAsia" w:ascii="仿宋_GB2312" w:hAnsi="仿宋_GB2312" w:eastAsia="仿宋_GB2312" w:cs="仿宋_GB2312"/>
          <w:color w:val="404040"/>
          <w:sz w:val="32"/>
          <w:szCs w:val="32"/>
        </w:rPr>
        <w:t>：</w:t>
      </w:r>
      <w:r>
        <w:rPr>
          <w:rFonts w:hint="eastAsia" w:ascii="仿宋_GB2312" w:hAnsi="仿宋_GB2312" w:eastAsia="仿宋_GB2312" w:cs="仿宋_GB2312"/>
          <w:color w:val="404040"/>
          <w:sz w:val="32"/>
          <w:szCs w:val="32"/>
        </w:rPr>
        <w:br w:type="textWrapping"/>
      </w:r>
      <w:r>
        <w:rPr>
          <w:rFonts w:hint="eastAsia" w:ascii="仿宋_GB2312" w:hAnsi="仿宋_GB2312" w:eastAsia="仿宋_GB2312" w:cs="仿宋_GB2312"/>
          <w:color w:val="404040"/>
          <w:sz w:val="32"/>
          <w:szCs w:val="32"/>
        </w:rPr>
        <w:t>肥胖、颅面畸形、过敏性鼻炎等是常见原因。</w:t>
      </w:r>
    </w:p>
    <w:p w14:paraId="4993226D">
      <w:pPr>
        <w:pStyle w:val="15"/>
        <w:snapToGrid w:val="0"/>
        <w:spacing w:before="0" w:beforeAutospacing="0" w:after="0" w:afterAutospacing="0" w:line="360" w:lineRule="auto"/>
        <w:contextualSpacing/>
        <w:rPr>
          <w:rFonts w:hint="eastAsia" w:ascii="仿宋_GB2312" w:hAnsi="仿宋_GB2312" w:eastAsia="仿宋_GB2312" w:cs="仿宋_GB2312"/>
          <w:color w:val="404040"/>
          <w:sz w:val="32"/>
          <w:szCs w:val="32"/>
        </w:rPr>
      </w:pPr>
      <w:r>
        <w:rPr>
          <w:rStyle w:val="20"/>
          <w:rFonts w:hint="eastAsia" w:ascii="仿宋_GB2312" w:hAnsi="仿宋_GB2312" w:eastAsia="仿宋_GB2312" w:cs="仿宋_GB2312"/>
          <w:color w:val="404040"/>
          <w:sz w:val="32"/>
          <w:szCs w:val="32"/>
        </w:rPr>
        <w:t>治疗方案</w:t>
      </w:r>
      <w:r>
        <w:rPr>
          <w:rFonts w:hint="eastAsia" w:ascii="仿宋_GB2312" w:hAnsi="仿宋_GB2312" w:eastAsia="仿宋_GB2312" w:cs="仿宋_GB2312"/>
          <w:color w:val="404040"/>
          <w:sz w:val="32"/>
          <w:szCs w:val="32"/>
        </w:rPr>
        <w:t>：</w:t>
      </w:r>
      <w:r>
        <w:rPr>
          <w:rFonts w:hint="eastAsia" w:ascii="仿宋_GB2312" w:hAnsi="仿宋_GB2312" w:eastAsia="仿宋_GB2312" w:cs="仿宋_GB2312"/>
          <w:color w:val="404040"/>
          <w:sz w:val="32"/>
          <w:szCs w:val="32"/>
        </w:rPr>
        <w:br w:type="textWrapping"/>
      </w:r>
      <w:r>
        <w:rPr>
          <w:rFonts w:hint="eastAsia" w:ascii="仿宋_GB2312" w:hAnsi="仿宋_GB2312" w:eastAsia="仿宋_GB2312" w:cs="仿宋_GB2312"/>
          <w:color w:val="404040"/>
          <w:sz w:val="32"/>
          <w:szCs w:val="32"/>
        </w:rPr>
        <w:t>（</w:t>
      </w:r>
      <w:bookmarkStart w:id="3" w:name="_GoBack"/>
      <w:bookmarkEnd w:id="3"/>
      <w:r>
        <w:rPr>
          <w:rFonts w:hint="eastAsia" w:ascii="仿宋_GB2312" w:hAnsi="仿宋_GB2312" w:eastAsia="仿宋_GB2312" w:cs="仿宋_GB2312"/>
          <w:color w:val="404040"/>
          <w:sz w:val="32"/>
          <w:szCs w:val="32"/>
        </w:rPr>
        <w:t>1）药物治疗：鼻用激素、白三烯受体拮抗剂等；</w:t>
      </w:r>
      <w:r>
        <w:rPr>
          <w:rFonts w:hint="eastAsia" w:ascii="仿宋_GB2312" w:hAnsi="仿宋_GB2312" w:eastAsia="仿宋_GB2312" w:cs="仿宋_GB2312"/>
          <w:color w:val="404040"/>
          <w:sz w:val="32"/>
          <w:szCs w:val="32"/>
        </w:rPr>
        <w:br w:type="textWrapping"/>
      </w:r>
      <w:r>
        <w:rPr>
          <w:rFonts w:hint="eastAsia" w:ascii="仿宋_GB2312" w:hAnsi="仿宋_GB2312" w:eastAsia="仿宋_GB2312" w:cs="仿宋_GB2312"/>
          <w:color w:val="404040"/>
          <w:sz w:val="32"/>
          <w:szCs w:val="32"/>
        </w:rPr>
        <w:t>（2）CPAP治疗：适用于中重度OSA患儿；</w:t>
      </w:r>
      <w:r>
        <w:rPr>
          <w:rFonts w:hint="eastAsia" w:ascii="仿宋_GB2312" w:hAnsi="仿宋_GB2312" w:eastAsia="仿宋_GB2312" w:cs="仿宋_GB2312"/>
          <w:color w:val="404040"/>
          <w:sz w:val="32"/>
          <w:szCs w:val="32"/>
        </w:rPr>
        <w:br w:type="textWrapping"/>
      </w:r>
      <w:r>
        <w:rPr>
          <w:rFonts w:hint="eastAsia" w:ascii="仿宋_GB2312" w:hAnsi="仿宋_GB2312" w:eastAsia="仿宋_GB2312" w:cs="仿宋_GB2312"/>
          <w:color w:val="404040"/>
          <w:sz w:val="32"/>
          <w:szCs w:val="32"/>
        </w:rPr>
        <w:t>（3）正畸治疗：改善颌面发育；</w:t>
      </w:r>
      <w:r>
        <w:rPr>
          <w:rFonts w:hint="eastAsia" w:ascii="仿宋_GB2312" w:hAnsi="仿宋_GB2312" w:eastAsia="仿宋_GB2312" w:cs="仿宋_GB2312"/>
          <w:color w:val="404040"/>
          <w:sz w:val="32"/>
          <w:szCs w:val="32"/>
        </w:rPr>
        <w:br w:type="textWrapping"/>
      </w:r>
      <w:r>
        <w:rPr>
          <w:rFonts w:hint="eastAsia" w:ascii="仿宋_GB2312" w:hAnsi="仿宋_GB2312" w:eastAsia="仿宋_GB2312" w:cs="仿宋_GB2312"/>
          <w:color w:val="404040"/>
          <w:sz w:val="32"/>
          <w:szCs w:val="32"/>
        </w:rPr>
        <w:t>（4）再次手术：对于残留腺样体或扁桃体组织，可考虑二次手术。</w:t>
      </w:r>
    </w:p>
    <w:p w14:paraId="407AC0FE">
      <w:pPr>
        <w:pStyle w:val="34"/>
        <w:numPr>
          <w:ilvl w:val="0"/>
          <w:numId w:val="1"/>
        </w:numPr>
        <w:snapToGrid w:val="0"/>
        <w:spacing w:after="0"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健康宣教及管理</w:t>
      </w:r>
    </w:p>
    <w:p w14:paraId="37C5D088">
      <w:pPr>
        <w:pStyle w:val="15"/>
        <w:snapToGrid w:val="0"/>
        <w:spacing w:before="0" w:beforeAutospacing="0" w:after="60" w:afterAutospacing="0" w:line="360" w:lineRule="auto"/>
        <w:ind w:firstLine="640" w:firstLineChars="200"/>
        <w:rPr>
          <w:rStyle w:val="20"/>
          <w:rFonts w:hint="eastAsia" w:ascii="仿宋_GB2312" w:hAnsi="仿宋_GB2312" w:eastAsia="仿宋_GB2312" w:cs="仿宋_GB2312"/>
          <w:b w:val="0"/>
          <w:bCs w:val="0"/>
          <w:color w:val="404040"/>
          <w:sz w:val="32"/>
          <w:szCs w:val="32"/>
        </w:rPr>
      </w:pPr>
      <w:r>
        <w:rPr>
          <w:rStyle w:val="20"/>
          <w:rFonts w:hint="eastAsia" w:ascii="仿宋_GB2312" w:hAnsi="仿宋_GB2312" w:eastAsia="仿宋_GB2312" w:cs="仿宋_GB2312"/>
          <w:b w:val="0"/>
          <w:bCs w:val="0"/>
          <w:color w:val="404040"/>
          <w:sz w:val="32"/>
          <w:szCs w:val="32"/>
        </w:rPr>
        <w:t>儿童OSA与上气道急慢性炎症和反复扁桃体、腺样体炎有关，是可以预防的。日常生活中家长应该关注以下几点：</w:t>
      </w:r>
    </w:p>
    <w:p w14:paraId="60D1444C">
      <w:pPr>
        <w:pStyle w:val="15"/>
        <w:snapToGrid w:val="0"/>
        <w:spacing w:before="0" w:beforeAutospacing="0" w:after="0" w:afterAutospacing="0" w:line="360" w:lineRule="auto"/>
        <w:ind w:firstLine="640" w:firstLineChars="200"/>
        <w:rPr>
          <w:rFonts w:hint="eastAsia" w:ascii="仿宋_GB2312" w:hAnsi="仿宋_GB2312" w:eastAsia="仿宋_GB2312" w:cs="仿宋_GB2312"/>
          <w:color w:val="404040"/>
          <w:sz w:val="32"/>
          <w:szCs w:val="32"/>
        </w:rPr>
      </w:pPr>
      <w:r>
        <w:rPr>
          <w:rFonts w:hint="eastAsia" w:ascii="仿宋_GB2312" w:hAnsi="仿宋_GB2312" w:eastAsia="仿宋_GB2312" w:cs="仿宋_GB2312"/>
          <w:color w:val="404040"/>
          <w:sz w:val="32"/>
          <w:szCs w:val="32"/>
        </w:rPr>
        <w:t>环境优化：保持卧室空气流通，避免过敏原和刺激物，冬天使用暖气时必要时加湿器，防止空气干燥引发呼吸道不适。</w:t>
      </w:r>
    </w:p>
    <w:p w14:paraId="781B292E">
      <w:pPr>
        <w:pStyle w:val="15"/>
        <w:snapToGrid w:val="0"/>
        <w:spacing w:before="0" w:beforeAutospacing="0" w:after="0" w:afterAutospacing="0" w:line="360" w:lineRule="auto"/>
        <w:ind w:firstLine="640" w:firstLineChars="200"/>
        <w:rPr>
          <w:rFonts w:hint="eastAsia" w:ascii="仿宋_GB2312" w:hAnsi="仿宋_GB2312" w:eastAsia="仿宋_GB2312" w:cs="仿宋_GB2312"/>
          <w:color w:val="404040"/>
          <w:sz w:val="32"/>
          <w:szCs w:val="32"/>
        </w:rPr>
      </w:pPr>
      <w:r>
        <w:rPr>
          <w:rFonts w:hint="eastAsia" w:ascii="仿宋_GB2312" w:hAnsi="仿宋_GB2312" w:eastAsia="仿宋_GB2312" w:cs="仿宋_GB2312"/>
          <w:color w:val="404040"/>
          <w:sz w:val="32"/>
          <w:szCs w:val="32"/>
        </w:rPr>
        <w:t>提高儿童免疫力：适当锻炼身体，合理饮食，培养良好的睡眠习惯，确保充足睡眠，避免睡前过度兴奋或进食。建议控制患儿体重，避免肥胖。</w:t>
      </w:r>
    </w:p>
    <w:p w14:paraId="28DEF1E3">
      <w:pPr>
        <w:pStyle w:val="15"/>
        <w:snapToGrid w:val="0"/>
        <w:spacing w:before="0" w:beforeAutospacing="0" w:after="0" w:afterAutospacing="0" w:line="360" w:lineRule="auto"/>
        <w:ind w:firstLine="640" w:firstLineChars="200"/>
        <w:rPr>
          <w:rFonts w:hint="eastAsia" w:ascii="仿宋_GB2312" w:hAnsi="仿宋_GB2312" w:eastAsia="仿宋_GB2312" w:cs="仿宋_GB2312"/>
          <w:color w:val="404040"/>
          <w:sz w:val="32"/>
          <w:szCs w:val="32"/>
        </w:rPr>
      </w:pPr>
      <w:r>
        <w:rPr>
          <w:rFonts w:hint="eastAsia" w:ascii="仿宋_GB2312" w:hAnsi="仿宋_GB2312" w:eastAsia="仿宋_GB2312" w:cs="仿宋_GB2312"/>
          <w:color w:val="404040"/>
          <w:sz w:val="32"/>
          <w:szCs w:val="32"/>
        </w:rPr>
        <w:t>提高家长对儿童OSA家长的认知：医务人员应该积极科普宣传，向家长普及OSA的症状、危害及治疗方法，强调早发现、早干预的重要性。</w:t>
      </w:r>
    </w:p>
    <w:p w14:paraId="3467CC77">
      <w:pPr>
        <w:spacing w:after="0" w:line="360" w:lineRule="auto"/>
        <w:rPr>
          <w:rFonts w:hint="eastAsia" w:ascii="仿宋_GB2312" w:hAnsi="仿宋_GB2312" w:eastAsia="仿宋_GB2312" w:cs="仿宋_GB2312"/>
          <w:color w:val="222222"/>
          <w:sz w:val="24"/>
          <w:shd w:val="clear" w:color="auto" w:fill="FFFFFF"/>
          <w14:ligatures w14:val="none"/>
        </w:rPr>
      </w:pPr>
    </w:p>
    <w:p w14:paraId="75A1B948">
      <w:pPr>
        <w:spacing w:after="0" w:line="360" w:lineRule="auto"/>
        <w:rPr>
          <w:rFonts w:hint="eastAsia" w:ascii="仿宋_GB2312" w:hAnsi="仿宋_GB2312" w:eastAsia="仿宋_GB2312" w:cs="仿宋_GB2312"/>
          <w:color w:val="222222"/>
          <w:sz w:val="24"/>
          <w:shd w:val="clear" w:color="auto" w:fill="FFFFFF"/>
          <w14:ligatures w14:val="none"/>
        </w:rPr>
      </w:pPr>
    </w:p>
    <w:p w14:paraId="69FA2A85">
      <w:pPr>
        <w:spacing w:after="0" w:line="360" w:lineRule="auto"/>
        <w:rPr>
          <w:rFonts w:hint="eastAsia" w:ascii="仿宋_GB2312" w:hAnsi="仿宋_GB2312" w:eastAsia="仿宋_GB2312" w:cs="仿宋_GB2312"/>
          <w:color w:val="222222"/>
          <w:sz w:val="24"/>
          <w:shd w:val="clear" w:color="auto" w:fill="FFFFFF"/>
          <w14:ligatures w14:val="none"/>
        </w:rPr>
      </w:pPr>
    </w:p>
    <w:p w14:paraId="30C32FC8">
      <w:pPr>
        <w:spacing w:after="0" w:line="360" w:lineRule="auto"/>
        <w:rPr>
          <w:rFonts w:hint="eastAsia" w:ascii="仿宋_GB2312" w:hAnsi="仿宋_GB2312" w:eastAsia="仿宋_GB2312" w:cs="仿宋_GB2312"/>
          <w:b/>
          <w:bCs/>
          <w:color w:val="222222"/>
          <w:sz w:val="24"/>
          <w:shd w:val="clear" w:color="auto" w:fill="FFFFFF"/>
          <w14:ligatures w14:val="none"/>
        </w:rPr>
      </w:pPr>
      <w:r>
        <w:rPr>
          <w:rFonts w:hint="eastAsia" w:ascii="仿宋_GB2312" w:hAnsi="仿宋_GB2312" w:eastAsia="仿宋_GB2312" w:cs="仿宋_GB2312"/>
          <w:b/>
          <w:bCs/>
          <w:color w:val="222222"/>
          <w:sz w:val="24"/>
          <w:shd w:val="clear" w:color="auto" w:fill="FFFFFF"/>
          <w14:ligatures w14:val="none"/>
        </w:rPr>
        <w:t>附：儿童OSA的诊断流程</w:t>
      </w:r>
    </w:p>
    <w:p w14:paraId="77D942DB">
      <w:pPr>
        <w:spacing w:after="0" w:line="360" w:lineRule="auto"/>
        <w:rPr>
          <w:rFonts w:ascii="宋体" w:hAnsi="宋体" w:eastAsia="宋体" w:cs="Arial"/>
          <w:color w:val="222222"/>
          <w:sz w:val="24"/>
          <w:shd w:val="clear" w:color="auto" w:fill="FFFFFF"/>
          <w14:ligatures w14:val="none"/>
        </w:rPr>
      </w:pPr>
      <w:r>
        <w:drawing>
          <wp:inline distT="0" distB="0" distL="0" distR="0">
            <wp:extent cx="4367530" cy="4168140"/>
            <wp:effectExtent l="0" t="0" r="0" b="3810"/>
            <wp:docPr id="19066025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602503"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367530" cy="4168140"/>
                    </a:xfrm>
                    <a:prstGeom prst="rect">
                      <a:avLst/>
                    </a:prstGeom>
                    <a:noFill/>
                    <a:ln>
                      <a:noFill/>
                    </a:ln>
                  </pic:spPr>
                </pic:pic>
              </a:graphicData>
            </a:graphic>
          </wp:inline>
        </w:drawing>
      </w:r>
    </w:p>
    <w:p w14:paraId="39B64235">
      <w:pPr>
        <w:spacing w:after="0" w:line="360" w:lineRule="auto"/>
        <w:rPr>
          <w:rFonts w:ascii="宋体" w:hAnsi="宋体" w:eastAsia="宋体"/>
          <w:sz w:val="24"/>
        </w:rPr>
      </w:pPr>
    </w:p>
    <w:p w14:paraId="73D784D2"/>
    <w:p w14:paraId="3628F785">
      <w:pPr>
        <w:spacing w:after="0" w:line="360" w:lineRule="auto"/>
        <w:rPr>
          <w:rFonts w:hint="eastAsia" w:ascii="仿宋_GB2312" w:hAnsi="仿宋_GB2312" w:eastAsia="仿宋_GB2312" w:cs="仿宋_GB2312"/>
          <w:sz w:val="32"/>
          <w:szCs w:val="32"/>
          <w:lang w:eastAsia="zh-CN"/>
        </w:rPr>
      </w:pPr>
    </w:p>
    <w:p w14:paraId="71BF88AF">
      <w:pPr>
        <w:spacing w:after="0" w:line="360" w:lineRule="auto"/>
        <w:rPr>
          <w:rFonts w:hint="eastAsia" w:ascii="仿宋_GB2312" w:hAnsi="仿宋_GB2312" w:eastAsia="仿宋_GB2312" w:cs="仿宋_GB2312"/>
          <w:sz w:val="32"/>
          <w:szCs w:val="32"/>
          <w:lang w:eastAsia="zh-CN"/>
        </w:rPr>
      </w:pPr>
    </w:p>
    <w:p w14:paraId="150041BD">
      <w:pPr>
        <w:spacing w:after="0" w:line="360" w:lineRule="auto"/>
        <w:rPr>
          <w:rFonts w:hint="eastAsia" w:ascii="仿宋_GB2312" w:hAnsi="仿宋_GB2312" w:eastAsia="仿宋_GB2312" w:cs="仿宋_GB2312"/>
          <w:sz w:val="32"/>
          <w:szCs w:val="32"/>
          <w:lang w:eastAsia="zh-CN"/>
        </w:rPr>
      </w:pPr>
    </w:p>
    <w:p w14:paraId="7651F567">
      <w:pPr>
        <w:spacing w:after="0" w:line="360" w:lineRule="auto"/>
        <w:rPr>
          <w:rFonts w:hint="eastAsia" w:ascii="仿宋_GB2312" w:hAnsi="仿宋_GB2312" w:eastAsia="仿宋_GB2312" w:cs="仿宋_GB2312"/>
          <w:sz w:val="32"/>
          <w:szCs w:val="32"/>
          <w:lang w:eastAsia="zh-CN"/>
        </w:rPr>
      </w:pPr>
    </w:p>
    <w:p w14:paraId="3DD8CE70">
      <w:pPr>
        <w:spacing w:after="0" w:line="360" w:lineRule="auto"/>
        <w:rPr>
          <w:rFonts w:hint="eastAsia" w:ascii="仿宋_GB2312" w:hAnsi="仿宋_GB2312" w:eastAsia="仿宋_GB2312" w:cs="仿宋_GB2312"/>
          <w:sz w:val="32"/>
          <w:szCs w:val="32"/>
          <w:lang w:eastAsia="zh-CN"/>
        </w:rPr>
      </w:pPr>
    </w:p>
    <w:p w14:paraId="7F32A0A1">
      <w:pPr>
        <w:spacing w:after="0" w:line="360" w:lineRule="auto"/>
        <w:rPr>
          <w:rFonts w:hint="eastAsia" w:ascii="仿宋_GB2312" w:hAnsi="仿宋_GB2312" w:eastAsia="仿宋_GB2312" w:cs="仿宋_GB2312"/>
          <w:sz w:val="32"/>
          <w:szCs w:val="32"/>
          <w:lang w:eastAsia="zh-CN"/>
        </w:rPr>
      </w:pPr>
    </w:p>
    <w:p w14:paraId="57E57A53">
      <w:pPr>
        <w:spacing w:after="0" w:line="360" w:lineRule="auto"/>
        <w:rPr>
          <w:rFonts w:hint="eastAsia" w:ascii="仿宋_GB2312" w:hAnsi="仿宋_GB2312" w:eastAsia="仿宋_GB2312" w:cs="仿宋_GB2312"/>
          <w:sz w:val="32"/>
          <w:szCs w:val="32"/>
          <w:lang w:eastAsia="zh-CN"/>
        </w:rPr>
      </w:pPr>
    </w:p>
    <w:p w14:paraId="2E0F5291">
      <w:pPr>
        <w:spacing w:after="0"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附单项</w:t>
      </w:r>
      <w:r>
        <w:rPr>
          <w:rFonts w:hint="eastAsia" w:ascii="仿宋_GB2312" w:hAnsi="仿宋_GB2312" w:eastAsia="仿宋_GB2312" w:cs="仿宋_GB2312"/>
          <w:b/>
          <w:bCs/>
          <w:sz w:val="32"/>
          <w:szCs w:val="32"/>
        </w:rPr>
        <w:t>选择题</w:t>
      </w:r>
    </w:p>
    <w:p w14:paraId="1CDF5C45">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儿童鼾症的主要病因不包括以下哪项？</w:t>
      </w:r>
    </w:p>
    <w:p w14:paraId="71E902B5">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扁桃体肥大</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 腺样体肥大</w:t>
      </w:r>
    </w:p>
    <w:p w14:paraId="3D5E5765">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肥胖</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 心脏病</w:t>
      </w:r>
    </w:p>
    <w:p w14:paraId="674B8E03">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儿童鼾症的临床表现不包括以下哪项？</w:t>
      </w:r>
    </w:p>
    <w:p w14:paraId="35C1B7D1">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夜间打鼾</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 张口呼吸</w:t>
      </w:r>
    </w:p>
    <w:p w14:paraId="0A37E4DF">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白天注意力不集中</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 高热</w:t>
      </w:r>
    </w:p>
    <w:p w14:paraId="1D53ECCC">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以下哪种辅助检查方法不适用于儿童鼾症的诊断？</w:t>
      </w:r>
    </w:p>
    <w:p w14:paraId="1ED73745">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多导睡眠监测</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 鼻咽侧位片</w:t>
      </w:r>
    </w:p>
    <w:p w14:paraId="26CDA1B5">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心电图</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D.电子鼻咽喉镜检查</w:t>
      </w:r>
    </w:p>
    <w:p w14:paraId="39C161D7">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儿童鼾症的一般治疗不包括以下哪项？</w:t>
      </w:r>
    </w:p>
    <w:p w14:paraId="3FD31F24">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改善生活习惯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 减肥</w:t>
      </w:r>
    </w:p>
    <w:p w14:paraId="50F43F94">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保持呼吸道通畅</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 使用抗生素</w:t>
      </w:r>
    </w:p>
    <w:p w14:paraId="4537FAA4">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 儿童鼾症的药物治疗不包括以下哪项？</w:t>
      </w:r>
    </w:p>
    <w:p w14:paraId="6A386C3C">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抗炎药物</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 抗过敏药物</w:t>
      </w:r>
    </w:p>
    <w:p w14:paraId="55B33D34">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退热药物</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 鼻喷糖皮质激素</w:t>
      </w:r>
    </w:p>
    <w:p w14:paraId="583FE87A">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 儿童鼾症手术治疗的适应症不包括以下哪项？</w:t>
      </w:r>
    </w:p>
    <w:p w14:paraId="504888BF">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保守治疗无效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 病情严重</w:t>
      </w:r>
    </w:p>
    <w:p w14:paraId="335DD819">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轻度鼾症</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 患儿及家长意愿</w:t>
      </w:r>
    </w:p>
    <w:p w14:paraId="32380CBA">
      <w:pPr>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 睡眠呼吸暂停发作时，以下哪种处理方法不正确？</w:t>
      </w:r>
    </w:p>
    <w:p w14:paraId="5B13EA8E">
      <w:pPr>
        <w:snapToGrid w:val="0"/>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立即将患儿置于侧卧位</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 拨打急救电话</w:t>
      </w:r>
    </w:p>
    <w:p w14:paraId="6F39F6B4">
      <w:pPr>
        <w:snapToGrid w:val="0"/>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等待自然缓解</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 保持呼吸道通畅</w:t>
      </w:r>
    </w:p>
    <w:p w14:paraId="1DBA4CBB">
      <w:pPr>
        <w:snapToGrid w:val="0"/>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 儿童鼾症的诊断流程不包括以下哪项？</w:t>
      </w:r>
    </w:p>
    <w:p w14:paraId="41CB4829">
      <w:pPr>
        <w:snapToGrid w:val="0"/>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病史采集</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 体格检查</w:t>
      </w:r>
    </w:p>
    <w:p w14:paraId="23329DB2">
      <w:pPr>
        <w:snapToGrid w:val="0"/>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辅助检查</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 治疗方案制定</w:t>
      </w:r>
    </w:p>
    <w:p w14:paraId="67D87606">
      <w:pPr>
        <w:snapToGrid w:val="0"/>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 扁桃体及腺样体手术并发症最常见的为以下哪项？</w:t>
      </w:r>
    </w:p>
    <w:p w14:paraId="73E4CFA4">
      <w:pPr>
        <w:snapToGrid w:val="0"/>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出血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 感染</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C.疼痛</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D.术后复发</w:t>
      </w:r>
    </w:p>
    <w:p w14:paraId="59763C08">
      <w:pPr>
        <w:snapToGrid w:val="0"/>
        <w:spacing w:after="0" w:line="360" w:lineRule="auto"/>
        <w:rPr>
          <w:rFonts w:hint="eastAsia" w:ascii="仿宋_GB2312" w:hAnsi="仿宋_GB2312" w:eastAsia="仿宋_GB2312" w:cs="仿宋_GB2312"/>
          <w:color w:val="404040"/>
          <w:sz w:val="32"/>
          <w:szCs w:val="32"/>
        </w:rPr>
      </w:pPr>
      <w:r>
        <w:rPr>
          <w:rFonts w:hint="eastAsia" w:ascii="仿宋_GB2312" w:hAnsi="仿宋_GB2312" w:eastAsia="仿宋_GB2312" w:cs="仿宋_GB2312"/>
          <w:color w:val="404040"/>
          <w:sz w:val="32"/>
          <w:szCs w:val="32"/>
          <w:lang w:val="en-US" w:eastAsia="zh-CN"/>
        </w:rPr>
        <w:t>10</w:t>
      </w:r>
      <w:r>
        <w:rPr>
          <w:rFonts w:hint="eastAsia" w:ascii="仿宋_GB2312" w:hAnsi="仿宋_GB2312" w:eastAsia="仿宋_GB2312" w:cs="仿宋_GB2312"/>
          <w:color w:val="404040"/>
          <w:sz w:val="32"/>
          <w:szCs w:val="32"/>
        </w:rPr>
        <w:t>.关于儿童阻塞性睡眠呼吸暂停（OSA）的诊断和治疗，以下哪项是正确的？</w:t>
      </w:r>
    </w:p>
    <w:p w14:paraId="50EABBE9">
      <w:pPr>
        <w:snapToGrid w:val="0"/>
        <w:spacing w:after="0" w:line="360" w:lineRule="auto"/>
        <w:rPr>
          <w:rFonts w:hint="eastAsia" w:ascii="仿宋_GB2312" w:hAnsi="仿宋_GB2312" w:eastAsia="仿宋_GB2312" w:cs="仿宋_GB2312"/>
          <w:sz w:val="32"/>
          <w:szCs w:val="32"/>
        </w:rPr>
      </w:pPr>
      <w:r>
        <w:rPr>
          <w:rFonts w:hint="eastAsia" w:ascii="仿宋_GB2312" w:hAnsi="仿宋_GB2312" w:eastAsia="仿宋_GB2312" w:cs="仿宋_GB2312"/>
          <w:color w:val="404040"/>
          <w:sz w:val="32"/>
          <w:szCs w:val="32"/>
        </w:rPr>
        <w:t>A. 儿童OSA的主要症状是白天过度嗜睡。</w:t>
      </w:r>
      <w:r>
        <w:rPr>
          <w:rFonts w:hint="eastAsia" w:ascii="仿宋_GB2312" w:hAnsi="仿宋_GB2312" w:eastAsia="仿宋_GB2312" w:cs="仿宋_GB2312"/>
          <w:color w:val="404040"/>
          <w:sz w:val="32"/>
          <w:szCs w:val="32"/>
        </w:rPr>
        <w:br w:type="textWrapping"/>
      </w:r>
      <w:r>
        <w:rPr>
          <w:rFonts w:hint="eastAsia" w:ascii="仿宋_GB2312" w:hAnsi="仿宋_GB2312" w:eastAsia="仿宋_GB2312" w:cs="仿宋_GB2312"/>
          <w:color w:val="404040"/>
          <w:sz w:val="32"/>
          <w:szCs w:val="32"/>
        </w:rPr>
        <w:t>B. 多导睡眠图（PSG）是诊断儿童OSA的金标准。</w:t>
      </w:r>
      <w:r>
        <w:rPr>
          <w:rFonts w:hint="eastAsia" w:ascii="仿宋_GB2312" w:hAnsi="仿宋_GB2312" w:eastAsia="仿宋_GB2312" w:cs="仿宋_GB2312"/>
          <w:color w:val="404040"/>
          <w:sz w:val="32"/>
          <w:szCs w:val="32"/>
        </w:rPr>
        <w:br w:type="textWrapping"/>
      </w:r>
      <w:r>
        <w:rPr>
          <w:rFonts w:hint="eastAsia" w:ascii="仿宋_GB2312" w:hAnsi="仿宋_GB2312" w:eastAsia="仿宋_GB2312" w:cs="仿宋_GB2312"/>
          <w:color w:val="404040"/>
          <w:sz w:val="32"/>
          <w:szCs w:val="32"/>
        </w:rPr>
        <w:t>C. 所有OSA患儿都应首选持续气道正压通气（CPAP）治疗。</w:t>
      </w:r>
      <w:r>
        <w:rPr>
          <w:rFonts w:hint="eastAsia" w:ascii="仿宋_GB2312" w:hAnsi="仿宋_GB2312" w:eastAsia="仿宋_GB2312" w:cs="仿宋_GB2312"/>
          <w:color w:val="404040"/>
          <w:sz w:val="32"/>
          <w:szCs w:val="32"/>
        </w:rPr>
        <w:br w:type="textWrapping"/>
      </w:r>
      <w:r>
        <w:rPr>
          <w:rFonts w:hint="eastAsia" w:ascii="仿宋_GB2312" w:hAnsi="仿宋_GB2312" w:eastAsia="仿宋_GB2312" w:cs="仿宋_GB2312"/>
          <w:color w:val="404040"/>
          <w:sz w:val="32"/>
          <w:szCs w:val="32"/>
        </w:rPr>
        <w:t>D. 儿童OSA通常不需要手术治疗，药物治疗即可有效控制。</w:t>
      </w:r>
    </w:p>
    <w:p w14:paraId="5FCAC201">
      <w:pPr>
        <w:spacing w:after="0" w:line="360" w:lineRule="auto"/>
        <w:rPr>
          <w:rFonts w:ascii="宋体" w:hAnsi="宋体" w:eastAsia="宋体"/>
          <w:sz w:val="24"/>
        </w:rPr>
      </w:pPr>
    </w:p>
    <w:sectPr>
      <w:pgSz w:w="11906" w:h="16838"/>
      <w:pgMar w:top="1814" w:right="1587" w:bottom="1701" w:left="1587" w:header="851" w:footer="992" w:gutter="0"/>
      <w:paperSrc/>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0000000000000000000"/>
    <w:charset w:val="86"/>
    <w:family w:val="auto"/>
    <w:pitch w:val="default"/>
    <w:sig w:usb0="00000000" w:usb1="00000000" w:usb2="00000016" w:usb3="00000000" w:csb0="0004000F" w:csb1="00000000"/>
  </w:font>
  <w:font w:name="HYa6gj">
    <w:altName w:val="微软雅黑"/>
    <w:panose1 w:val="00000000000000000000"/>
    <w:charset w:val="86"/>
    <w:family w:val="auto"/>
    <w:pitch w:val="default"/>
    <w:sig w:usb0="00000000" w:usb1="00000000" w:usb2="00000010" w:usb3="00000000" w:csb0="00040000" w:csb1="00000000"/>
  </w:font>
  <w:font w:name="幼圆">
    <w:altName w:val="宋体"/>
    <w:panose1 w:val="02010509060101010101"/>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大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E23527"/>
    <w:multiLevelType w:val="multilevel"/>
    <w:tmpl w:val="06E23527"/>
    <w:lvl w:ilvl="0" w:tentative="0">
      <w:start w:val="7"/>
      <w:numFmt w:val="japaneseCounting"/>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925"/>
    <w:rsid w:val="00004AF9"/>
    <w:rsid w:val="00014279"/>
    <w:rsid w:val="0002470A"/>
    <w:rsid w:val="0003475E"/>
    <w:rsid w:val="00075632"/>
    <w:rsid w:val="000773CE"/>
    <w:rsid w:val="000A6446"/>
    <w:rsid w:val="000C76D6"/>
    <w:rsid w:val="000D7AEB"/>
    <w:rsid w:val="000E6375"/>
    <w:rsid w:val="0010759F"/>
    <w:rsid w:val="001109E4"/>
    <w:rsid w:val="00122D36"/>
    <w:rsid w:val="001524D6"/>
    <w:rsid w:val="00180D4A"/>
    <w:rsid w:val="001B1919"/>
    <w:rsid w:val="001D1194"/>
    <w:rsid w:val="00205F53"/>
    <w:rsid w:val="0022247A"/>
    <w:rsid w:val="00231A8C"/>
    <w:rsid w:val="00252F5F"/>
    <w:rsid w:val="002618CC"/>
    <w:rsid w:val="002B0585"/>
    <w:rsid w:val="002C30C0"/>
    <w:rsid w:val="002F7EB6"/>
    <w:rsid w:val="00317DA4"/>
    <w:rsid w:val="00333640"/>
    <w:rsid w:val="00345A45"/>
    <w:rsid w:val="00345B2E"/>
    <w:rsid w:val="0035123B"/>
    <w:rsid w:val="003521EB"/>
    <w:rsid w:val="00370226"/>
    <w:rsid w:val="0038249C"/>
    <w:rsid w:val="0039252D"/>
    <w:rsid w:val="00393CF0"/>
    <w:rsid w:val="003A4F6F"/>
    <w:rsid w:val="003A75FC"/>
    <w:rsid w:val="003B2DB2"/>
    <w:rsid w:val="003C2F9A"/>
    <w:rsid w:val="003D3F21"/>
    <w:rsid w:val="003D7F89"/>
    <w:rsid w:val="003F79BC"/>
    <w:rsid w:val="00407398"/>
    <w:rsid w:val="004178B5"/>
    <w:rsid w:val="0043383E"/>
    <w:rsid w:val="00463E24"/>
    <w:rsid w:val="00466A57"/>
    <w:rsid w:val="004F5B09"/>
    <w:rsid w:val="005365B9"/>
    <w:rsid w:val="0058653D"/>
    <w:rsid w:val="005C2AEE"/>
    <w:rsid w:val="005D0F0E"/>
    <w:rsid w:val="0061552C"/>
    <w:rsid w:val="006368A7"/>
    <w:rsid w:val="00637684"/>
    <w:rsid w:val="006745A2"/>
    <w:rsid w:val="00674888"/>
    <w:rsid w:val="00677AB1"/>
    <w:rsid w:val="006B6828"/>
    <w:rsid w:val="006C590C"/>
    <w:rsid w:val="006D6D88"/>
    <w:rsid w:val="006F3DB1"/>
    <w:rsid w:val="006F5360"/>
    <w:rsid w:val="00702605"/>
    <w:rsid w:val="007125DD"/>
    <w:rsid w:val="00765C0E"/>
    <w:rsid w:val="00767F25"/>
    <w:rsid w:val="00794CB2"/>
    <w:rsid w:val="00796FC7"/>
    <w:rsid w:val="007977CF"/>
    <w:rsid w:val="007C2155"/>
    <w:rsid w:val="007C57B8"/>
    <w:rsid w:val="007C7243"/>
    <w:rsid w:val="007D13D0"/>
    <w:rsid w:val="0080060C"/>
    <w:rsid w:val="0080522E"/>
    <w:rsid w:val="00821C6D"/>
    <w:rsid w:val="00844EE6"/>
    <w:rsid w:val="00845268"/>
    <w:rsid w:val="0087227E"/>
    <w:rsid w:val="008B1D0A"/>
    <w:rsid w:val="008D3E98"/>
    <w:rsid w:val="008D418B"/>
    <w:rsid w:val="008D4899"/>
    <w:rsid w:val="008E0FCB"/>
    <w:rsid w:val="00907603"/>
    <w:rsid w:val="00911061"/>
    <w:rsid w:val="00911C33"/>
    <w:rsid w:val="0093069B"/>
    <w:rsid w:val="00940923"/>
    <w:rsid w:val="009512D2"/>
    <w:rsid w:val="00975E20"/>
    <w:rsid w:val="009825BC"/>
    <w:rsid w:val="009C14CF"/>
    <w:rsid w:val="009E2009"/>
    <w:rsid w:val="009E406B"/>
    <w:rsid w:val="00A17668"/>
    <w:rsid w:val="00A21257"/>
    <w:rsid w:val="00A27FF4"/>
    <w:rsid w:val="00A577D8"/>
    <w:rsid w:val="00A60332"/>
    <w:rsid w:val="00A64C46"/>
    <w:rsid w:val="00A811AC"/>
    <w:rsid w:val="00AA25D9"/>
    <w:rsid w:val="00AB055D"/>
    <w:rsid w:val="00AD0C86"/>
    <w:rsid w:val="00AE4DAC"/>
    <w:rsid w:val="00AF2AEB"/>
    <w:rsid w:val="00AF5C32"/>
    <w:rsid w:val="00AF7014"/>
    <w:rsid w:val="00B00391"/>
    <w:rsid w:val="00B246F4"/>
    <w:rsid w:val="00B27955"/>
    <w:rsid w:val="00B3603C"/>
    <w:rsid w:val="00B3654B"/>
    <w:rsid w:val="00B50962"/>
    <w:rsid w:val="00B53983"/>
    <w:rsid w:val="00BA3586"/>
    <w:rsid w:val="00BA61C7"/>
    <w:rsid w:val="00BB1BFD"/>
    <w:rsid w:val="00BC6992"/>
    <w:rsid w:val="00C30E6C"/>
    <w:rsid w:val="00C6294D"/>
    <w:rsid w:val="00C96FB0"/>
    <w:rsid w:val="00CB6C3F"/>
    <w:rsid w:val="00D15025"/>
    <w:rsid w:val="00D155D6"/>
    <w:rsid w:val="00D176F4"/>
    <w:rsid w:val="00D414A9"/>
    <w:rsid w:val="00D66BD2"/>
    <w:rsid w:val="00D72722"/>
    <w:rsid w:val="00DC50CB"/>
    <w:rsid w:val="00DD394F"/>
    <w:rsid w:val="00DE4884"/>
    <w:rsid w:val="00DF17D2"/>
    <w:rsid w:val="00DF4337"/>
    <w:rsid w:val="00E027D1"/>
    <w:rsid w:val="00E41D21"/>
    <w:rsid w:val="00E42383"/>
    <w:rsid w:val="00E438B6"/>
    <w:rsid w:val="00E6024E"/>
    <w:rsid w:val="00E84BAF"/>
    <w:rsid w:val="00E95C44"/>
    <w:rsid w:val="00EA6A39"/>
    <w:rsid w:val="00EB6872"/>
    <w:rsid w:val="00EC5A50"/>
    <w:rsid w:val="00ED1A0A"/>
    <w:rsid w:val="00EF0841"/>
    <w:rsid w:val="00EF20E6"/>
    <w:rsid w:val="00F00BC9"/>
    <w:rsid w:val="00F2707A"/>
    <w:rsid w:val="00F40C8A"/>
    <w:rsid w:val="00F60925"/>
    <w:rsid w:val="00F64BDF"/>
    <w:rsid w:val="00F75E34"/>
    <w:rsid w:val="00F919E3"/>
    <w:rsid w:val="00FA092A"/>
    <w:rsid w:val="00FA22BB"/>
    <w:rsid w:val="00FB5495"/>
    <w:rsid w:val="00FC2D7D"/>
    <w:rsid w:val="00FD2F7D"/>
    <w:rsid w:val="00FD4765"/>
    <w:rsid w:val="00FE42E0"/>
    <w:rsid w:val="00FF1226"/>
    <w:rsid w:val="00FF5E22"/>
    <w:rsid w:val="5820511C"/>
    <w:rsid w:val="5EFB0EFD"/>
    <w:rsid w:val="661B2E96"/>
    <w:rsid w:val="6D1660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1"/>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3"/>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4"/>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5"/>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6"/>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7"/>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9"/>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1"/>
    <w:semiHidden/>
    <w:unhideWhenUsed/>
    <w:qFormat/>
    <w:uiPriority w:val="99"/>
    <w:pPr>
      <w:spacing w:after="0" w:line="240" w:lineRule="auto"/>
    </w:pPr>
    <w:rPr>
      <w:sz w:val="18"/>
      <w:szCs w:val="18"/>
    </w:rPr>
  </w:style>
  <w:style w:type="paragraph" w:styleId="12">
    <w:name w:val="footer"/>
    <w:basedOn w:val="1"/>
    <w:link w:val="40"/>
    <w:unhideWhenUsed/>
    <w:qFormat/>
    <w:uiPriority w:val="99"/>
    <w:pPr>
      <w:tabs>
        <w:tab w:val="center" w:pos="4153"/>
        <w:tab w:val="right" w:pos="8306"/>
      </w:tabs>
      <w:snapToGrid w:val="0"/>
      <w:spacing w:line="240" w:lineRule="auto"/>
    </w:pPr>
    <w:rPr>
      <w:sz w:val="18"/>
      <w:szCs w:val="18"/>
    </w:rPr>
  </w:style>
  <w:style w:type="paragraph" w:styleId="13">
    <w:name w:val="header"/>
    <w:basedOn w:val="1"/>
    <w:link w:val="39"/>
    <w:unhideWhenUsed/>
    <w:qFormat/>
    <w:uiPriority w:val="99"/>
    <w:pPr>
      <w:tabs>
        <w:tab w:val="center" w:pos="4153"/>
        <w:tab w:val="right" w:pos="8306"/>
      </w:tabs>
      <w:snapToGrid w:val="0"/>
      <w:spacing w:line="240" w:lineRule="auto"/>
      <w:jc w:val="center"/>
    </w:pPr>
    <w:rPr>
      <w:sz w:val="18"/>
      <w:szCs w:val="18"/>
    </w:rPr>
  </w:style>
  <w:style w:type="paragraph" w:styleId="14">
    <w:name w:val="Subtitle"/>
    <w:basedOn w:val="1"/>
    <w:next w:val="1"/>
    <w:link w:val="31"/>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Normal (Web)"/>
    <w:basedOn w:val="1"/>
    <w:unhideWhenUsed/>
    <w:qFormat/>
    <w:uiPriority w:val="99"/>
    <w:pPr>
      <w:widowControl/>
      <w:spacing w:before="100" w:beforeAutospacing="1" w:after="100" w:afterAutospacing="1" w:line="240" w:lineRule="auto"/>
    </w:pPr>
    <w:rPr>
      <w:rFonts w:ascii="宋体" w:hAnsi="宋体" w:eastAsia="宋体" w:cs="宋体"/>
      <w:kern w:val="0"/>
      <w:sz w:val="24"/>
      <w14:ligatures w14:val="none"/>
    </w:rPr>
  </w:style>
  <w:style w:type="paragraph" w:styleId="16">
    <w:name w:val="Title"/>
    <w:basedOn w:val="1"/>
    <w:next w:val="1"/>
    <w:link w:val="30"/>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18">
    <w:name w:val="Table Grid"/>
    <w:basedOn w:val="1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22"/>
    <w:rPr>
      <w:b/>
      <w:bCs/>
    </w:rPr>
  </w:style>
  <w:style w:type="character" w:customStyle="1" w:styleId="21">
    <w:name w:val="标题 1 Char"/>
    <w:basedOn w:val="19"/>
    <w:link w:val="2"/>
    <w:qFormat/>
    <w:uiPriority w:val="9"/>
    <w:rPr>
      <w:rFonts w:asciiTheme="majorHAnsi" w:hAnsiTheme="majorHAnsi" w:eastAsiaTheme="majorEastAsia" w:cstheme="majorBidi"/>
      <w:color w:val="2F5597" w:themeColor="accent1" w:themeShade="BF"/>
      <w:sz w:val="48"/>
      <w:szCs w:val="48"/>
    </w:rPr>
  </w:style>
  <w:style w:type="character" w:customStyle="1" w:styleId="22">
    <w:name w:val="标题 2 Char"/>
    <w:basedOn w:val="19"/>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3">
    <w:name w:val="标题 3 Char"/>
    <w:basedOn w:val="19"/>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4">
    <w:name w:val="标题 4 Char"/>
    <w:basedOn w:val="19"/>
    <w:link w:val="5"/>
    <w:semiHidden/>
    <w:qFormat/>
    <w:uiPriority w:val="9"/>
    <w:rPr>
      <w:rFonts w:cstheme="majorBidi"/>
      <w:color w:val="2F5597" w:themeColor="accent1" w:themeShade="BF"/>
      <w:sz w:val="28"/>
      <w:szCs w:val="28"/>
    </w:rPr>
  </w:style>
  <w:style w:type="character" w:customStyle="1" w:styleId="25">
    <w:name w:val="标题 5 Char"/>
    <w:basedOn w:val="19"/>
    <w:link w:val="6"/>
    <w:semiHidden/>
    <w:qFormat/>
    <w:uiPriority w:val="9"/>
    <w:rPr>
      <w:rFonts w:cstheme="majorBidi"/>
      <w:color w:val="2F5597" w:themeColor="accent1" w:themeShade="BF"/>
      <w:sz w:val="24"/>
    </w:rPr>
  </w:style>
  <w:style w:type="character" w:customStyle="1" w:styleId="26">
    <w:name w:val="标题 6 Char"/>
    <w:basedOn w:val="19"/>
    <w:link w:val="7"/>
    <w:semiHidden/>
    <w:qFormat/>
    <w:uiPriority w:val="9"/>
    <w:rPr>
      <w:rFonts w:cstheme="majorBidi"/>
      <w:b/>
      <w:bCs/>
      <w:color w:val="2F5597" w:themeColor="accent1" w:themeShade="BF"/>
    </w:rPr>
  </w:style>
  <w:style w:type="character" w:customStyle="1" w:styleId="27">
    <w:name w:val="标题 7 Char"/>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Char"/>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Char"/>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Char"/>
    <w:basedOn w:val="19"/>
    <w:link w:val="16"/>
    <w:qFormat/>
    <w:uiPriority w:val="10"/>
    <w:rPr>
      <w:rFonts w:asciiTheme="majorHAnsi" w:hAnsiTheme="majorHAnsi" w:eastAsiaTheme="majorEastAsia" w:cstheme="majorBidi"/>
      <w:spacing w:val="-10"/>
      <w:kern w:val="28"/>
      <w:sz w:val="56"/>
      <w:szCs w:val="56"/>
    </w:rPr>
  </w:style>
  <w:style w:type="character" w:customStyle="1" w:styleId="31">
    <w:name w:val="副标题 Char"/>
    <w:basedOn w:val="19"/>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Char"/>
    <w:basedOn w:val="19"/>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Intense Emphasis"/>
    <w:basedOn w:val="19"/>
    <w:qFormat/>
    <w:uiPriority w:val="21"/>
    <w:rPr>
      <w:i/>
      <w:iCs/>
      <w:color w:val="2F5597" w:themeColor="accent1" w:themeShade="BF"/>
    </w:rPr>
  </w:style>
  <w:style w:type="paragraph" w:styleId="36">
    <w:name w:val="Intense Quote"/>
    <w:basedOn w:val="1"/>
    <w:next w:val="1"/>
    <w:link w:val="37"/>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7">
    <w:name w:val="明显引用 Char"/>
    <w:basedOn w:val="19"/>
    <w:link w:val="36"/>
    <w:qFormat/>
    <w:uiPriority w:val="30"/>
    <w:rPr>
      <w:i/>
      <w:iCs/>
      <w:color w:val="2F5597" w:themeColor="accent1" w:themeShade="BF"/>
    </w:rPr>
  </w:style>
  <w:style w:type="character" w:customStyle="1" w:styleId="38">
    <w:name w:val="Intense Reference"/>
    <w:basedOn w:val="19"/>
    <w:qFormat/>
    <w:uiPriority w:val="32"/>
    <w:rPr>
      <w:b/>
      <w:bCs/>
      <w:smallCaps/>
      <w:color w:val="2F5597" w:themeColor="accent1" w:themeShade="BF"/>
      <w:spacing w:val="5"/>
    </w:rPr>
  </w:style>
  <w:style w:type="character" w:customStyle="1" w:styleId="39">
    <w:name w:val="页眉 Char"/>
    <w:basedOn w:val="19"/>
    <w:link w:val="13"/>
    <w:qFormat/>
    <w:uiPriority w:val="99"/>
    <w:rPr>
      <w:sz w:val="18"/>
      <w:szCs w:val="18"/>
    </w:rPr>
  </w:style>
  <w:style w:type="character" w:customStyle="1" w:styleId="40">
    <w:name w:val="页脚 Char"/>
    <w:basedOn w:val="19"/>
    <w:link w:val="12"/>
    <w:qFormat/>
    <w:uiPriority w:val="99"/>
    <w:rPr>
      <w:sz w:val="18"/>
      <w:szCs w:val="18"/>
    </w:rPr>
  </w:style>
  <w:style w:type="character" w:customStyle="1" w:styleId="41">
    <w:name w:val="批注框文本 Char"/>
    <w:basedOn w:val="19"/>
    <w:link w:val="11"/>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3237</Words>
  <Characters>3707</Characters>
  <Lines>51</Lines>
  <Paragraphs>14</Paragraphs>
  <TotalTime>18</TotalTime>
  <ScaleCrop>false</ScaleCrop>
  <LinksUpToDate>false</LinksUpToDate>
  <CharactersWithSpaces>3753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2025-02-17T09:37:00Z</dcterms:created>
  <dc:creator>大 王</dc:creator>
  <cp:lastModifiedBy>轻舞飞扬</cp:lastModifiedBy>
  <dcterms:modified xsi:type="dcterms:W3CDTF">2025-12-23T07:30:46Z</dcterms:modified>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eyJoZGlkIjoiODBmNTMzZjkzYzI0YjY0ZTVkNDZkMTM4NTY2ZGEwNjciLCJ1c2VySWQiOiI1OTU4NDk1MTUifQ==</vt:lpwstr>
  </property>
  <property fmtid="{D5CDD505-2E9C-101B-9397-08002B2CF9AE}" pid="3" name="KSOProductBuildVer">
    <vt:lpwstr>2052-12.1.0.24034</vt:lpwstr>
  </property>
  <property fmtid="{D5CDD505-2E9C-101B-9397-08002B2CF9AE}" pid="4" name="ICV">
    <vt:lpwstr>833D8D758C9B499E8DB9F93174624451_12</vt:lpwstr>
  </property>
</Properties>
</file>